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5F0F2B" w:rsidRDefault="00226AF2" w:rsidP="00226AF2">
      <w:pPr>
        <w:ind w:firstLine="1304"/>
        <w:rPr>
          <w:rFonts w:ascii="IBM Plex Sans" w:hAnsi="IBM Plex Sans" w:cs="Segoe UI"/>
          <w:color w:val="0D0D0D" w:themeColor="text1" w:themeTint="F2"/>
          <w:sz w:val="52"/>
          <w:szCs w:val="52"/>
        </w:rPr>
      </w:pPr>
    </w:p>
    <w:p w14:paraId="7CB0C385" w14:textId="77777777" w:rsidR="00226AF2" w:rsidRPr="005F0F2B" w:rsidRDefault="00550961" w:rsidP="00226AF2">
      <w:pPr>
        <w:ind w:firstLine="1304"/>
        <w:rPr>
          <w:rFonts w:ascii="IBM Plex Sans" w:hAnsi="IBM Plex Sans" w:cs="Segoe UI"/>
          <w:color w:val="0D0D0D" w:themeColor="text1" w:themeTint="F2"/>
          <w:sz w:val="52"/>
          <w:szCs w:val="52"/>
        </w:rPr>
      </w:pPr>
      <w:r w:rsidRPr="005F0F2B">
        <w:rPr>
          <w:rFonts w:ascii="IBM Plex Sans" w:hAnsi="IBM Plex Sans" w:cs="Segoe UI"/>
          <w:noProof/>
          <w:color w:val="0D0D0D" w:themeColor="text1" w:themeTint="F2"/>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5404C76D" w14:textId="77777777" w:rsidR="005F0F2B" w:rsidRPr="006F1025" w:rsidRDefault="005F0F2B" w:rsidP="00226AF2">
      <w:pPr>
        <w:ind w:firstLine="1304"/>
        <w:rPr>
          <w:rFonts w:ascii="IBM Plex Sans" w:hAnsi="IBM Plex Sans" w:cs="Segoe UI"/>
          <w:color w:val="0D0D0D" w:themeColor="text1" w:themeTint="F2"/>
          <w:sz w:val="52"/>
          <w:szCs w:val="52"/>
          <w:lang w:val="en-US"/>
        </w:rPr>
      </w:pPr>
      <w:r w:rsidRPr="006F1025">
        <w:rPr>
          <w:rFonts w:ascii="IBM Plex Sans" w:hAnsi="IBM Plex Sans" w:cs="Segoe UI"/>
          <w:color w:val="0D0D0D" w:themeColor="text1" w:themeTint="F2"/>
          <w:sz w:val="52"/>
          <w:szCs w:val="52"/>
          <w:lang w:val="en-US"/>
        </w:rPr>
        <w:t>Product Supply Agreement</w:t>
      </w:r>
    </w:p>
    <w:p w14:paraId="3D287145" w14:textId="71BF53F5" w:rsidR="007E7D24" w:rsidRPr="006F1025" w:rsidRDefault="006F1025" w:rsidP="00226AF2">
      <w:pPr>
        <w:ind w:firstLine="1304"/>
        <w:rPr>
          <w:rFonts w:ascii="IBM Plex Sans" w:hAnsi="IBM Plex Sans" w:cs="Segoe UI"/>
          <w:color w:val="0D0D0D" w:themeColor="text1" w:themeTint="F2"/>
          <w:sz w:val="52"/>
          <w:szCs w:val="52"/>
          <w:lang w:val="en-US"/>
        </w:rPr>
      </w:pPr>
      <w:sdt>
        <w:sdtPr>
          <w:rPr>
            <w:rFonts w:ascii="IBM Plex Sans" w:hAnsi="IBM Plex Sans" w:cs="Segoe UI"/>
            <w:color w:val="0D0D0D" w:themeColor="text1" w:themeTint="F2"/>
            <w:sz w:val="52"/>
            <w:szCs w:val="52"/>
          </w:rPr>
          <w:id w:val="1146554769"/>
          <w:placeholder>
            <w:docPart w:val="46D2AF75EEA84E8F94645BD5EBB0DDCD"/>
          </w:placeholder>
          <w:showingPlcHdr/>
        </w:sdtPr>
        <w:sdtEndPr/>
        <w:sdtContent>
          <w:r w:rsidR="007E7D24" w:rsidRPr="006F1025">
            <w:rPr>
              <w:rFonts w:ascii="IBM Plex Sans" w:hAnsi="IBM Plex Sans" w:cs="Segoe UI"/>
              <w:b/>
              <w:color w:val="0D0D0D" w:themeColor="text1" w:themeTint="F2"/>
              <w:sz w:val="52"/>
              <w:szCs w:val="52"/>
              <w:highlight w:val="lightGray"/>
              <w:lang w:val="en-US"/>
            </w:rPr>
            <w:t>Firmanavn</w:t>
          </w:r>
        </w:sdtContent>
      </w:sdt>
    </w:p>
    <w:p w14:paraId="538E2926" w14:textId="77777777" w:rsidR="00226AF2" w:rsidRPr="006F1025" w:rsidRDefault="00226AF2" w:rsidP="007E7D24">
      <w:pPr>
        <w:rPr>
          <w:rFonts w:ascii="IBM Plex Sans" w:hAnsi="IBM Plex Sans" w:cs="Segoe UI"/>
          <w:b/>
          <w:color w:val="0D0D0D" w:themeColor="text1" w:themeTint="F2"/>
          <w:sz w:val="52"/>
          <w:szCs w:val="52"/>
          <w:lang w:val="en-US"/>
        </w:rPr>
        <w:sectPr w:rsidR="00226AF2" w:rsidRPr="006F1025" w:rsidSect="00E9319B">
          <w:headerReference w:type="even" r:id="rId13"/>
          <w:headerReference w:type="default" r:id="rId14"/>
          <w:footerReference w:type="even" r:id="rId15"/>
          <w:footerReference w:type="default" r:id="rId16"/>
          <w:headerReference w:type="first" r:id="rId17"/>
          <w:footerReference w:type="first" r:id="rId18"/>
          <w:type w:val="nextColumn"/>
          <w:pgSz w:w="11907" w:h="16840" w:code="9"/>
          <w:pgMar w:top="1134" w:right="1361" w:bottom="1134" w:left="1361" w:header="709" w:footer="709" w:gutter="0"/>
          <w:cols w:space="708"/>
          <w:vAlign w:val="center"/>
          <w:titlePg/>
          <w:docGrid w:linePitch="326"/>
        </w:sectPr>
      </w:pPr>
    </w:p>
    <w:p w14:paraId="0FCD82C8" w14:textId="5A978693" w:rsidR="00226AF2" w:rsidRPr="006F1025" w:rsidRDefault="00226AF2" w:rsidP="00226AF2">
      <w:pPr>
        <w:rPr>
          <w:rFonts w:ascii="IBM Plex Sans" w:hAnsi="IBM Plex Sans" w:cs="Segoe UI"/>
          <w:color w:val="0D0D0D" w:themeColor="text1" w:themeTint="F2"/>
          <w:sz w:val="22"/>
          <w:szCs w:val="22"/>
          <w:lang w:val="en-US"/>
        </w:rPr>
      </w:pPr>
    </w:p>
    <w:p w14:paraId="5A4C9184" w14:textId="5B9EB2C0" w:rsidR="00226AF2" w:rsidRPr="006F1025" w:rsidRDefault="00412335" w:rsidP="00226AF2">
      <w:pPr>
        <w:rPr>
          <w:rFonts w:ascii="IBM Plex Sans" w:hAnsi="IBM Plex Sans" w:cs="Segoe UI"/>
          <w:color w:val="0D0D0D" w:themeColor="text1" w:themeTint="F2"/>
          <w:sz w:val="22"/>
          <w:szCs w:val="22"/>
          <w:lang w:val="en-US"/>
        </w:rPr>
      </w:pPr>
      <w:r w:rsidRPr="005F0F2B">
        <w:rPr>
          <w:rFonts w:ascii="IBM Plex Sans" w:hAnsi="IBM Plex Sans" w:cs="Segoe UI"/>
          <w:i/>
          <w:noProof/>
          <w:color w:val="0D0D0D" w:themeColor="text1" w:themeTint="F2"/>
          <w:sz w:val="22"/>
          <w:szCs w:val="22"/>
        </w:rPr>
        <mc:AlternateContent>
          <mc:Choice Requires="wps">
            <w:drawing>
              <wp:anchor distT="0" distB="0" distL="114300" distR="114300" simplePos="0" relativeHeight="251659264" behindDoc="0" locked="0" layoutInCell="1" allowOverlap="1" wp14:anchorId="46FD74BA" wp14:editId="7C1E3B66">
                <wp:simplePos x="0" y="0"/>
                <wp:positionH relativeFrom="margin">
                  <wp:posOffset>66068</wp:posOffset>
                </wp:positionH>
                <wp:positionV relativeFrom="paragraph">
                  <wp:posOffset>29265</wp:posOffset>
                </wp:positionV>
                <wp:extent cx="5572125" cy="1224501"/>
                <wp:effectExtent l="0" t="0" r="28575" b="13970"/>
                <wp:wrapNone/>
                <wp:docPr id="2" name="Rektangel 2"/>
                <wp:cNvGraphicFramePr/>
                <a:graphic xmlns:a="http://schemas.openxmlformats.org/drawingml/2006/main">
                  <a:graphicData uri="http://schemas.microsoft.com/office/word/2010/wordprocessingShape">
                    <wps:wsp>
                      <wps:cNvSpPr/>
                      <wps:spPr>
                        <a:xfrm>
                          <a:off x="0" y="0"/>
                          <a:ext cx="5572125" cy="1224501"/>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618D98" w14:textId="4FC61A9A" w:rsidR="005F0F2B" w:rsidRPr="005F0F2B" w:rsidRDefault="005F0F2B" w:rsidP="005F0F2B">
                            <w:pPr>
                              <w:rPr>
                                <w:rFonts w:ascii="IBM Plex Sans" w:hAnsi="IBM Plex Sans"/>
                                <w:i/>
                                <w:iCs/>
                                <w:color w:val="000000" w:themeColor="text1"/>
                                <w:sz w:val="22"/>
                                <w:szCs w:val="18"/>
                              </w:rPr>
                            </w:pPr>
                            <w:r w:rsidRPr="005F0F2B">
                              <w:rPr>
                                <w:rFonts w:ascii="IBM Plex Sans" w:hAnsi="IBM Plex Sans"/>
                                <w:i/>
                                <w:iCs/>
                                <w:color w:val="000000" w:themeColor="text1"/>
                                <w:sz w:val="22"/>
                                <w:szCs w:val="18"/>
                              </w:rPr>
                              <w:t>Dette er et eksempel på en aftale om levering af produkter på engelsk. Brug af dokumentet er på eget ansvar, og vi opfordrer dig derfor til at rådføre dig med en professionel rådgiver.</w:t>
                            </w:r>
                          </w:p>
                          <w:p w14:paraId="20D81EEF" w14:textId="1481B9EB" w:rsidR="00412335" w:rsidRPr="005F0F2B" w:rsidRDefault="005F0F2B" w:rsidP="005F0F2B">
                            <w:pPr>
                              <w:rPr>
                                <w:rFonts w:ascii="IBM Plex Sans" w:hAnsi="IBM Plex Sans"/>
                                <w:i/>
                                <w:iCs/>
                                <w:color w:val="000000" w:themeColor="text1"/>
                                <w:sz w:val="22"/>
                                <w:szCs w:val="18"/>
                                <w:lang w:val="en-US"/>
                              </w:rPr>
                            </w:pPr>
                            <w:r w:rsidRPr="005F0F2B">
                              <w:rPr>
                                <w:rFonts w:ascii="IBM Plex Sans" w:hAnsi="IBM Plex Sans"/>
                                <w:i/>
                                <w:iCs/>
                                <w:color w:val="000000" w:themeColor="text1"/>
                                <w:sz w:val="22"/>
                                <w:szCs w:val="18"/>
                                <w:lang w:val="en-US"/>
                              </w:rPr>
                              <w:t>This is an example of a Product Supply Agreement in English. Using the document is at your own responsibility, and we recommend that you consult with a professional adviser.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pt;margin-top:2.3pt;width:438.75pt;height:9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" filled="f" strokecolor="#95b3d7 [1940]" strokeweight="2pt">
                <v:textbox>
                  <w:txbxContent>
                    <w:p w14:paraId="17618D98" w14:textId="4FC61A9A" w:rsidR="005F0F2B" w:rsidRPr="005F0F2B" w:rsidRDefault="005F0F2B" w:rsidP="005F0F2B">
                      <w:pPr>
                        <w:rPr>
                          <w:rFonts w:ascii="IBM Plex Sans" w:hAnsi="IBM Plex Sans"/>
                          <w:i/>
                          <w:iCs/>
                          <w:color w:val="000000" w:themeColor="text1"/>
                          <w:sz w:val="22"/>
                          <w:szCs w:val="18"/>
                        </w:rPr>
                      </w:pPr>
                      <w:r w:rsidRPr="005F0F2B">
                        <w:rPr>
                          <w:rFonts w:ascii="IBM Plex Sans" w:hAnsi="IBM Plex Sans"/>
                          <w:i/>
                          <w:iCs/>
                          <w:color w:val="000000" w:themeColor="text1"/>
                          <w:sz w:val="22"/>
                          <w:szCs w:val="18"/>
                        </w:rPr>
                        <w:t>Dette er et eksempel på en aftale om levering af produkter på engelsk. Brug af dokumentet er på eget ansvar, og vi opfordrer dig derfor til at rådføre dig med en professionel rådgiver.</w:t>
                      </w:r>
                    </w:p>
                    <w:p w14:paraId="20D81EEF" w14:textId="1481B9EB" w:rsidR="00412335" w:rsidRPr="005F0F2B" w:rsidRDefault="005F0F2B" w:rsidP="005F0F2B">
                      <w:pPr>
                        <w:rPr>
                          <w:rFonts w:ascii="IBM Plex Sans" w:hAnsi="IBM Plex Sans"/>
                          <w:i/>
                          <w:iCs/>
                          <w:color w:val="000000" w:themeColor="text1"/>
                          <w:sz w:val="22"/>
                          <w:szCs w:val="18"/>
                          <w:lang w:val="en-US"/>
                        </w:rPr>
                      </w:pPr>
                      <w:r w:rsidRPr="005F0F2B">
                        <w:rPr>
                          <w:rFonts w:ascii="IBM Plex Sans" w:hAnsi="IBM Plex Sans"/>
                          <w:i/>
                          <w:iCs/>
                          <w:color w:val="000000" w:themeColor="text1"/>
                          <w:sz w:val="22"/>
                          <w:szCs w:val="18"/>
                          <w:lang w:val="en-US"/>
                        </w:rPr>
                        <w:t>This is an example of a Product Supply Agreement in English. Using the document is at your own responsibility, and we recommend that you consult with a professional adviser.</w:t>
                      </w:r>
                    </w:p>
                  </w:txbxContent>
                </v:textbox>
                <w10:wrap anchorx="margin"/>
              </v:rect>
            </w:pict>
          </mc:Fallback>
        </mc:AlternateContent>
      </w:r>
    </w:p>
    <w:p w14:paraId="46776DBD" w14:textId="08305A02" w:rsidR="00226AF2" w:rsidRPr="006F1025" w:rsidRDefault="00226AF2" w:rsidP="00226AF2">
      <w:pPr>
        <w:rPr>
          <w:rFonts w:ascii="IBM Plex Sans" w:hAnsi="IBM Plex Sans" w:cs="Segoe UI"/>
          <w:color w:val="0D0D0D" w:themeColor="text1" w:themeTint="F2"/>
          <w:sz w:val="22"/>
          <w:szCs w:val="22"/>
          <w:lang w:val="en-US"/>
        </w:rPr>
      </w:pPr>
    </w:p>
    <w:p w14:paraId="6EB9BE01" w14:textId="7DF7628E" w:rsidR="00BA154F" w:rsidRPr="006F1025" w:rsidRDefault="00BA154F" w:rsidP="00226AF2">
      <w:pPr>
        <w:rPr>
          <w:rFonts w:ascii="IBM Plex Sans" w:hAnsi="IBM Plex Sans" w:cs="Segoe UI"/>
          <w:color w:val="0D0D0D" w:themeColor="text1" w:themeTint="F2"/>
          <w:sz w:val="22"/>
          <w:szCs w:val="22"/>
          <w:lang w:val="en-US"/>
        </w:rPr>
      </w:pPr>
    </w:p>
    <w:p w14:paraId="168CCEE9" w14:textId="32EA74B9" w:rsidR="005F0F2B" w:rsidRPr="006F1025" w:rsidRDefault="005F0F2B" w:rsidP="005F0F2B">
      <w:pPr>
        <w:rPr>
          <w:rFonts w:ascii="IBM Plex Sans" w:hAnsi="IBM Plex Sans" w:cs="Segoe UI"/>
          <w:color w:val="0D0D0D" w:themeColor="text1" w:themeTint="F2"/>
          <w:sz w:val="22"/>
          <w:szCs w:val="22"/>
          <w:lang w:val="en-US"/>
        </w:rPr>
      </w:pPr>
      <w:bookmarkStart w:id="0" w:name="_GoBack"/>
      <w:bookmarkEnd w:id="0"/>
    </w:p>
    <w:p w14:paraId="678C99E6" w14:textId="17F8EB57" w:rsidR="005F0F2B" w:rsidRPr="006F1025" w:rsidRDefault="005F0F2B" w:rsidP="005F0F2B">
      <w:pPr>
        <w:rPr>
          <w:rFonts w:ascii="IBM Plex Sans" w:hAnsi="IBM Plex Sans" w:cs="Segoe UI"/>
          <w:color w:val="0D0D0D" w:themeColor="text1" w:themeTint="F2"/>
          <w:sz w:val="22"/>
          <w:szCs w:val="22"/>
          <w:lang w:val="en-US"/>
        </w:rPr>
      </w:pPr>
    </w:p>
    <w:p w14:paraId="436939D4" w14:textId="36DC4FF6" w:rsidR="005F0F2B" w:rsidRPr="006F1025" w:rsidRDefault="005F0F2B" w:rsidP="005F0F2B">
      <w:pPr>
        <w:rPr>
          <w:rFonts w:ascii="IBM Plex Sans" w:hAnsi="IBM Plex Sans" w:cs="Segoe UI"/>
          <w:color w:val="0D0D0D" w:themeColor="text1" w:themeTint="F2"/>
          <w:sz w:val="22"/>
          <w:szCs w:val="22"/>
          <w:lang w:val="en-US"/>
        </w:rPr>
      </w:pPr>
    </w:p>
    <w:p w14:paraId="3CF450F5" w14:textId="03D29083" w:rsidR="005F0F2B" w:rsidRPr="006F1025" w:rsidRDefault="005F0F2B" w:rsidP="005F0F2B">
      <w:pPr>
        <w:spacing w:line="276" w:lineRule="auto"/>
        <w:rPr>
          <w:rFonts w:ascii="IBM Plex Sans" w:hAnsi="IBM Plex Sans" w:cs="Segoe UI"/>
          <w:color w:val="0D0D0D" w:themeColor="text1" w:themeTint="F2"/>
          <w:sz w:val="22"/>
          <w:szCs w:val="22"/>
          <w:lang w:val="en-US"/>
        </w:rPr>
      </w:pPr>
    </w:p>
    <w:p w14:paraId="3FFEAC55" w14:textId="2826224E" w:rsidR="005F0F2B" w:rsidRPr="006F1025" w:rsidRDefault="005F0F2B" w:rsidP="005F0F2B">
      <w:pPr>
        <w:spacing w:line="276" w:lineRule="auto"/>
        <w:rPr>
          <w:rFonts w:ascii="IBM Plex Sans" w:hAnsi="IBM Plex Sans" w:cs="Segoe UI"/>
          <w:color w:val="0D0D0D" w:themeColor="text1" w:themeTint="F2"/>
          <w:sz w:val="22"/>
          <w:szCs w:val="22"/>
          <w:lang w:val="en-US"/>
        </w:rPr>
      </w:pPr>
    </w:p>
    <w:p w14:paraId="6A6E1509" w14:textId="24B4BB6F" w:rsidR="005F0F2B" w:rsidRPr="005F0F2B" w:rsidRDefault="005F0F2B" w:rsidP="005F0F2B">
      <w:pPr>
        <w:spacing w:line="276" w:lineRule="auto"/>
        <w:jc w:val="center"/>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Product Supply Agreement</w:t>
      </w:r>
    </w:p>
    <w:p w14:paraId="1C29F082" w14:textId="77777777" w:rsidR="005F0F2B" w:rsidRPr="005F0F2B" w:rsidRDefault="005F0F2B" w:rsidP="005F0F2B">
      <w:pPr>
        <w:spacing w:line="276" w:lineRule="auto"/>
        <w:rPr>
          <w:rFonts w:ascii="IBM Plex Sans" w:hAnsi="IBM Plex Sans"/>
          <w:b/>
          <w:color w:val="0D0D0D" w:themeColor="text1" w:themeTint="F2"/>
          <w:w w:val="125"/>
          <w:sz w:val="22"/>
          <w:szCs w:val="22"/>
          <w:lang w:val="en-GB"/>
        </w:rPr>
      </w:pPr>
    </w:p>
    <w:p w14:paraId="0FFC76D5" w14:textId="77777777"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This Product Supply Agreement (hereinafter called the “Agreement”) is entered into by and between</w:t>
      </w:r>
    </w:p>
    <w:p w14:paraId="6367876B" w14:textId="77777777" w:rsidR="005F0F2B" w:rsidRPr="005F0F2B" w:rsidRDefault="005F0F2B" w:rsidP="005F0F2B">
      <w:pPr>
        <w:spacing w:line="276" w:lineRule="auto"/>
        <w:rPr>
          <w:rFonts w:ascii="IBM Plex Sans" w:hAnsi="IBM Plex Sans"/>
          <w:color w:val="0D0D0D" w:themeColor="text1" w:themeTint="F2"/>
          <w:sz w:val="22"/>
          <w:szCs w:val="22"/>
          <w:lang w:val="en-GB"/>
        </w:rPr>
      </w:pPr>
    </w:p>
    <w:sdt>
      <w:sdtPr>
        <w:rPr>
          <w:rFonts w:ascii="IBM Plex Sans" w:hAnsi="IBM Plex Sans"/>
          <w:color w:val="0D0D0D" w:themeColor="text1" w:themeTint="F2"/>
          <w:sz w:val="22"/>
          <w:szCs w:val="22"/>
          <w:highlight w:val="lightGray"/>
          <w:lang w:val="en-GB"/>
        </w:rPr>
        <w:id w:val="513729215"/>
        <w:placeholder>
          <w:docPart w:val="DefaultPlaceholder_-1854013440"/>
        </w:placeholder>
        <w:temporary/>
      </w:sdtPr>
      <w:sdtEndPr/>
      <w:sdtContent>
        <w:p w14:paraId="15C2FD00" w14:textId="62270DF5"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highlight w:val="lightGray"/>
              <w:lang w:val="en-GB"/>
            </w:rPr>
            <w:t>[name]</w:t>
          </w:r>
        </w:p>
      </w:sdtContent>
    </w:sdt>
    <w:sdt>
      <w:sdtPr>
        <w:rPr>
          <w:rFonts w:ascii="IBM Plex Sans" w:hAnsi="IBM Plex Sans"/>
          <w:color w:val="0D0D0D" w:themeColor="text1" w:themeTint="F2"/>
          <w:sz w:val="22"/>
          <w:szCs w:val="22"/>
          <w:highlight w:val="lightGray"/>
          <w:lang w:val="en-GB"/>
        </w:rPr>
        <w:id w:val="-1865438877"/>
        <w:placeholder>
          <w:docPart w:val="DefaultPlaceholder_-1854013440"/>
        </w:placeholder>
        <w:temporary/>
      </w:sdtPr>
      <w:sdtEndPr/>
      <w:sdtContent>
        <w:p w14:paraId="74709667" w14:textId="58B8E64C"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highlight w:val="lightGray"/>
              <w:lang w:val="en-GB"/>
            </w:rPr>
            <w:t>[company registration number]</w:t>
          </w:r>
        </w:p>
      </w:sdtContent>
    </w:sdt>
    <w:sdt>
      <w:sdtPr>
        <w:rPr>
          <w:rFonts w:ascii="IBM Plex Sans" w:hAnsi="IBM Plex Sans"/>
          <w:color w:val="0D0D0D" w:themeColor="text1" w:themeTint="F2"/>
          <w:sz w:val="22"/>
          <w:szCs w:val="22"/>
          <w:highlight w:val="lightGray"/>
          <w:lang w:val="en-GB"/>
        </w:rPr>
        <w:id w:val="-946308251"/>
        <w:placeholder>
          <w:docPart w:val="DefaultPlaceholder_-1854013440"/>
        </w:placeholder>
        <w:temporary/>
      </w:sdtPr>
      <w:sdtEndPr/>
      <w:sdtContent>
        <w:p w14:paraId="1E46F078" w14:textId="1A204A3C"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highlight w:val="lightGray"/>
              <w:lang w:val="en-GB"/>
            </w:rPr>
            <w:t>[address]</w:t>
          </w:r>
        </w:p>
      </w:sdtContent>
    </w:sdt>
    <w:p w14:paraId="2283F999" w14:textId="77777777" w:rsidR="005F0F2B" w:rsidRPr="005F0F2B" w:rsidRDefault="005F0F2B" w:rsidP="005F0F2B">
      <w:pPr>
        <w:spacing w:line="276" w:lineRule="auto"/>
        <w:rPr>
          <w:rFonts w:ascii="IBM Plex Sans" w:hAnsi="IBM Plex Sans"/>
          <w:color w:val="0D0D0D" w:themeColor="text1" w:themeTint="F2"/>
          <w:sz w:val="22"/>
          <w:szCs w:val="22"/>
          <w:lang w:val="en-GB"/>
        </w:rPr>
      </w:pPr>
    </w:p>
    <w:p w14:paraId="3C0B196E" w14:textId="77777777"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(hereinafter called the “Seller”)</w:t>
      </w:r>
    </w:p>
    <w:p w14:paraId="10DB694E" w14:textId="77777777" w:rsidR="005F0F2B" w:rsidRPr="005F0F2B" w:rsidRDefault="005F0F2B" w:rsidP="005F0F2B">
      <w:pPr>
        <w:spacing w:line="276" w:lineRule="auto"/>
        <w:rPr>
          <w:rFonts w:ascii="IBM Plex Sans" w:hAnsi="IBM Plex Sans"/>
          <w:color w:val="0D0D0D" w:themeColor="text1" w:themeTint="F2"/>
          <w:sz w:val="22"/>
          <w:szCs w:val="22"/>
          <w:lang w:val="en-GB"/>
        </w:rPr>
      </w:pPr>
    </w:p>
    <w:p w14:paraId="4C638EBB" w14:textId="77777777"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and</w:t>
      </w:r>
    </w:p>
    <w:p w14:paraId="22677B05" w14:textId="77777777" w:rsidR="005F0F2B" w:rsidRPr="005F0F2B" w:rsidRDefault="005F0F2B" w:rsidP="005F0F2B">
      <w:pPr>
        <w:spacing w:line="276" w:lineRule="auto"/>
        <w:rPr>
          <w:rFonts w:ascii="IBM Plex Sans" w:hAnsi="IBM Plex Sans"/>
          <w:color w:val="0D0D0D" w:themeColor="text1" w:themeTint="F2"/>
          <w:sz w:val="22"/>
          <w:szCs w:val="22"/>
          <w:lang w:val="en-GB"/>
        </w:rPr>
      </w:pPr>
    </w:p>
    <w:sdt>
      <w:sdtPr>
        <w:rPr>
          <w:rFonts w:ascii="IBM Plex Sans" w:hAnsi="IBM Plex Sans"/>
          <w:color w:val="0D0D0D" w:themeColor="text1" w:themeTint="F2"/>
          <w:sz w:val="22"/>
          <w:szCs w:val="22"/>
          <w:highlight w:val="lightGray"/>
          <w:lang w:val="en-GB"/>
        </w:rPr>
        <w:id w:val="-1381157705"/>
        <w:placeholder>
          <w:docPart w:val="33AA49C4C7E845B0B03863D121F0E8F3"/>
        </w:placeholder>
        <w:temporary/>
      </w:sdtPr>
      <w:sdtEndPr/>
      <w:sdtContent>
        <w:p w14:paraId="4C981CC5" w14:textId="77777777" w:rsidR="00615374" w:rsidRDefault="00615374" w:rsidP="00615374">
          <w:pPr>
            <w:rPr>
              <w:rFonts w:ascii="IBM Plex Sans" w:hAnsi="IBM Plex Sans"/>
              <w:color w:val="0D0D0D" w:themeColor="text1" w:themeTint="F2"/>
              <w:highlight w:val="lightGray"/>
              <w:lang w:val="en-GB"/>
            </w:rPr>
          </w:pPr>
          <w:r w:rsidRPr="005F0F2B">
            <w:rPr>
              <w:rFonts w:ascii="IBM Plex Sans" w:hAnsi="IBM Plex Sans"/>
              <w:color w:val="0D0D0D" w:themeColor="text1" w:themeTint="F2"/>
              <w:sz w:val="22"/>
              <w:szCs w:val="22"/>
              <w:highlight w:val="lightGray"/>
              <w:lang w:val="en-GB"/>
            </w:rPr>
            <w:t>[name]</w:t>
          </w:r>
        </w:p>
      </w:sdtContent>
    </w:sdt>
    <w:sdt>
      <w:sdtPr>
        <w:rPr>
          <w:rFonts w:ascii="IBM Plex Sans" w:hAnsi="IBM Plex Sans"/>
          <w:color w:val="0D0D0D" w:themeColor="text1" w:themeTint="F2"/>
          <w:sz w:val="22"/>
          <w:szCs w:val="22"/>
          <w:highlight w:val="lightGray"/>
          <w:lang w:val="en-GB"/>
        </w:rPr>
        <w:id w:val="503942677"/>
        <w:placeholder>
          <w:docPart w:val="DefaultPlaceholder_-1854013440"/>
        </w:placeholder>
        <w:temporary/>
      </w:sdtPr>
      <w:sdtEndPr/>
      <w:sdtContent>
        <w:p w14:paraId="1EFE27AF" w14:textId="3533605E" w:rsidR="005F0F2B" w:rsidRPr="005F0F2B" w:rsidRDefault="00615374" w:rsidP="00615374">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highlight w:val="lightGray"/>
              <w:lang w:val="en-GB"/>
            </w:rPr>
            <w:t xml:space="preserve"> </w:t>
          </w:r>
          <w:r w:rsidR="005F0F2B" w:rsidRPr="005F0F2B">
            <w:rPr>
              <w:rFonts w:ascii="IBM Plex Sans" w:hAnsi="IBM Plex Sans"/>
              <w:color w:val="0D0D0D" w:themeColor="text1" w:themeTint="F2"/>
              <w:sz w:val="22"/>
              <w:szCs w:val="22"/>
              <w:highlight w:val="lightGray"/>
              <w:lang w:val="en-GB"/>
            </w:rPr>
            <w:t>[company registration number]</w:t>
          </w:r>
        </w:p>
      </w:sdtContent>
    </w:sdt>
    <w:sdt>
      <w:sdtPr>
        <w:rPr>
          <w:rFonts w:ascii="IBM Plex Sans" w:hAnsi="IBM Plex Sans"/>
          <w:color w:val="0D0D0D" w:themeColor="text1" w:themeTint="F2"/>
          <w:sz w:val="22"/>
          <w:szCs w:val="22"/>
          <w:highlight w:val="lightGray"/>
          <w:lang w:val="en-GB"/>
        </w:rPr>
        <w:id w:val="184254932"/>
        <w:placeholder>
          <w:docPart w:val="DefaultPlaceholder_-1854013440"/>
        </w:placeholder>
        <w:temporary/>
      </w:sdtPr>
      <w:sdtEndPr/>
      <w:sdtContent>
        <w:p w14:paraId="174526BD" w14:textId="42099A9F"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highlight w:val="lightGray"/>
              <w:lang w:val="en-GB"/>
            </w:rPr>
            <w:t>[address]</w:t>
          </w:r>
        </w:p>
      </w:sdtContent>
    </w:sdt>
    <w:p w14:paraId="52EBE30C" w14:textId="77777777" w:rsidR="005F0F2B" w:rsidRPr="005F0F2B" w:rsidRDefault="005F0F2B" w:rsidP="005F0F2B">
      <w:pPr>
        <w:spacing w:line="276" w:lineRule="auto"/>
        <w:rPr>
          <w:rFonts w:ascii="IBM Plex Sans" w:hAnsi="IBM Plex Sans"/>
          <w:color w:val="0D0D0D" w:themeColor="text1" w:themeTint="F2"/>
          <w:sz w:val="22"/>
          <w:szCs w:val="22"/>
          <w:lang w:val="en-GB"/>
        </w:rPr>
      </w:pPr>
    </w:p>
    <w:p w14:paraId="3E721AA7" w14:textId="77777777"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(hereinafter called the “Buyer”)</w:t>
      </w:r>
    </w:p>
    <w:p w14:paraId="3A754399" w14:textId="0CB79DD2" w:rsidR="005F0F2B" w:rsidRDefault="005F0F2B" w:rsidP="005F0F2B">
      <w:pPr>
        <w:spacing w:line="276" w:lineRule="auto"/>
        <w:ind w:left="3402"/>
        <w:rPr>
          <w:rFonts w:ascii="IBM Plex Sans" w:hAnsi="IBM Plex Sans"/>
          <w:color w:val="0D0D0D" w:themeColor="text1" w:themeTint="F2"/>
          <w:sz w:val="22"/>
          <w:szCs w:val="22"/>
          <w:lang w:val="en-GB"/>
        </w:rPr>
      </w:pPr>
    </w:p>
    <w:p w14:paraId="7B2E2D58" w14:textId="358E81AE" w:rsidR="005F0F2B" w:rsidRDefault="005F0F2B" w:rsidP="005F0F2B">
      <w:pPr>
        <w:spacing w:line="276" w:lineRule="auto"/>
        <w:ind w:left="3402"/>
        <w:rPr>
          <w:rFonts w:ascii="IBM Plex Sans" w:hAnsi="IBM Plex Sans"/>
          <w:color w:val="0D0D0D" w:themeColor="text1" w:themeTint="F2"/>
          <w:sz w:val="22"/>
          <w:szCs w:val="22"/>
          <w:lang w:val="en-GB"/>
        </w:rPr>
      </w:pPr>
    </w:p>
    <w:p w14:paraId="3711BBAA" w14:textId="77777777" w:rsidR="005F0F2B" w:rsidRPr="005F0F2B" w:rsidRDefault="005F0F2B" w:rsidP="005F0F2B">
      <w:pPr>
        <w:spacing w:line="276" w:lineRule="auto"/>
        <w:ind w:left="3402"/>
        <w:rPr>
          <w:rFonts w:ascii="IBM Plex Sans" w:hAnsi="IBM Plex Sans"/>
          <w:color w:val="0D0D0D" w:themeColor="text1" w:themeTint="F2"/>
          <w:sz w:val="22"/>
          <w:szCs w:val="22"/>
          <w:lang w:val="en-GB"/>
        </w:rPr>
      </w:pPr>
    </w:p>
    <w:p w14:paraId="3A1DFEB4" w14:textId="77777777" w:rsidR="005F0F2B" w:rsidRPr="005F0F2B" w:rsidRDefault="005F0F2B" w:rsidP="005F0F2B">
      <w:pPr>
        <w:spacing w:line="276" w:lineRule="auto"/>
        <w:rPr>
          <w:rFonts w:ascii="IBM Plex Sans" w:hAnsi="IBM Plex Sans"/>
          <w:color w:val="0D0D0D" w:themeColor="text1" w:themeTint="F2"/>
          <w:sz w:val="22"/>
          <w:szCs w:val="22"/>
          <w:lang w:val="en-GB"/>
        </w:rPr>
      </w:pPr>
    </w:p>
    <w:p w14:paraId="28878E67" w14:textId="3A492F9F"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Definitions</w:t>
      </w:r>
    </w:p>
    <w:p w14:paraId="736ECCF9"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As used in the Agreement, the following words have the following meanings when written with a capital first letter:</w:t>
      </w:r>
    </w:p>
    <w:p w14:paraId="7CBA5833"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13D6A486" w14:textId="142DC135"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“Agreement” means this Product Supply Agreement, including Appendix A, as may be amended from time to time in accordance with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_Ref296495561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13.1</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hereof.</w:t>
      </w:r>
    </w:p>
    <w:p w14:paraId="2C72763B"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3E2E8F33"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“Party” or “Parties” means the Seller or the Buyer, individually, or the Seller and the Buyer, collectively.</w:t>
      </w:r>
    </w:p>
    <w:p w14:paraId="1B38623C"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5D1D4EF1" w14:textId="1E169564" w:rsidR="005F0F2B" w:rsidRDefault="005F0F2B" w:rsidP="005F0F2B">
      <w:pPr>
        <w:pStyle w:val="Listeafsnit"/>
        <w:spacing w:line="276" w:lineRule="auto"/>
        <w:ind w:left="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“Product” means </w:t>
      </w:r>
      <w:sdt>
        <w:sdtPr>
          <w:rPr>
            <w:rFonts w:ascii="IBM Plex Sans" w:hAnsi="IBM Plex Sans"/>
            <w:color w:val="0D0D0D" w:themeColor="text1" w:themeTint="F2"/>
            <w:sz w:val="22"/>
            <w:szCs w:val="22"/>
            <w:lang w:val="en-GB"/>
          </w:rPr>
          <w:id w:val="-958787956"/>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[product]</w:t>
          </w:r>
        </w:sdtContent>
      </w:sdt>
      <w:r w:rsidRPr="005F0F2B">
        <w:rPr>
          <w:rFonts w:ascii="IBM Plex Sans" w:hAnsi="IBM Plex Sans"/>
          <w:color w:val="0D0D0D" w:themeColor="text1" w:themeTint="F2"/>
          <w:sz w:val="22"/>
          <w:szCs w:val="22"/>
          <w:lang w:val="en-GB"/>
        </w:rPr>
        <w:t xml:space="preserve"> to be sold by the Seller and purchased by the Buyer hereunder, as specified in Appendix A hereto.</w:t>
      </w:r>
    </w:p>
    <w:p w14:paraId="5E317A93" w14:textId="2B384CB8" w:rsid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29E3F73A" w14:textId="29903161" w:rsid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486A67C4"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7EDBBDE6" w14:textId="0B484C82"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Scope of agreement</w:t>
      </w:r>
    </w:p>
    <w:p w14:paraId="4F1125ED"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Seller hereby agrees to sell and deliver, and the Buyer hereby agrees to purchase and take delivery of, the Product, on and subject to the terms and conditions hereof.</w:t>
      </w:r>
    </w:p>
    <w:p w14:paraId="5FE8DB39"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032F09A7"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No terms and conditions in a Party’s documents which are in addition to or conflict with the Agreement shall be binding, unless agreed to in writing by the Parties.</w:t>
      </w:r>
    </w:p>
    <w:p w14:paraId="3E920D61"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0418278C"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Buyer shall not be obliged to purchase any minimum quantity of the Product from the Seller or to purchase any or all of its requirements for the Product from the Seller.</w:t>
      </w:r>
    </w:p>
    <w:p w14:paraId="2DB1E028"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0C1E5373" w14:textId="7A41DE10"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Product changes</w:t>
      </w:r>
    </w:p>
    <w:p w14:paraId="02742CBC" w14:textId="372EA5B5"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Seller shall notify the Buyer of any decision to change or discontinue the manufacture of the Product in writing no later than </w:t>
      </w:r>
      <w:sdt>
        <w:sdtPr>
          <w:rPr>
            <w:rFonts w:ascii="IBM Plex Sans" w:hAnsi="IBM Plex Sans"/>
            <w:color w:val="0D0D0D" w:themeColor="text1" w:themeTint="F2"/>
            <w:sz w:val="22"/>
            <w:szCs w:val="22"/>
            <w:lang w:val="en-GB"/>
          </w:rPr>
          <w:id w:val="657427130"/>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before implementation. Following such notification, the Buyer shall have, as its sole and exclusive remedies, the right to: (</w:t>
      </w:r>
      <w:proofErr w:type="spellStart"/>
      <w:r w:rsidRPr="005F0F2B">
        <w:rPr>
          <w:rFonts w:ascii="IBM Plex Sans" w:hAnsi="IBM Plex Sans"/>
          <w:color w:val="0D0D0D" w:themeColor="text1" w:themeTint="F2"/>
          <w:sz w:val="22"/>
          <w:szCs w:val="22"/>
          <w:lang w:val="en-GB"/>
        </w:rPr>
        <w:t>i</w:t>
      </w:r>
      <w:proofErr w:type="spellEnd"/>
      <w:r w:rsidRPr="005F0F2B">
        <w:rPr>
          <w:rFonts w:ascii="IBM Plex Sans" w:hAnsi="IBM Plex Sans"/>
          <w:color w:val="0D0D0D" w:themeColor="text1" w:themeTint="F2"/>
          <w:sz w:val="22"/>
          <w:szCs w:val="22"/>
          <w:lang w:val="en-GB"/>
        </w:rPr>
        <w:t>) Cancel any undelivered purchase orders for the Product without liability to the Seller, or (ii) Submit purchase orders for a last buy quantity of the Product.</w:t>
      </w:r>
    </w:p>
    <w:p w14:paraId="3DE4E67D"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54D586B4" w14:textId="1F096FEF"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Purchase orders and forecasts</w:t>
      </w:r>
    </w:p>
    <w:p w14:paraId="1E9D7BC3" w14:textId="57F8D68A"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 w:name="_Ref297122743"/>
      <w:r w:rsidRPr="005F0F2B">
        <w:rPr>
          <w:rFonts w:ascii="IBM Plex Sans" w:hAnsi="IBM Plex Sans"/>
          <w:color w:val="0D0D0D" w:themeColor="text1" w:themeTint="F2"/>
          <w:sz w:val="22"/>
          <w:szCs w:val="22"/>
          <w:lang w:val="en-GB"/>
        </w:rPr>
        <w:t xml:space="preserve">All purchases of the Product shall be made by written purchase orders submitted by the Buyer to the Seller. A purchase order shall be binding on the Seller only upon the Seller’s submission of a written confirmation of the purchase order to the Buyer. The Seller shall confirm or reject a purchase order within </w:t>
      </w:r>
      <w:sdt>
        <w:sdtPr>
          <w:rPr>
            <w:rFonts w:ascii="IBM Plex Sans" w:hAnsi="IBM Plex Sans"/>
            <w:color w:val="0D0D0D" w:themeColor="text1" w:themeTint="F2"/>
            <w:sz w:val="22"/>
            <w:szCs w:val="22"/>
            <w:lang w:val="en-GB"/>
          </w:rPr>
          <w:id w:val="-1062861846"/>
          <w:placeholder>
            <w:docPart w:val="6FA9D8C75F234AF593582CD34353303A"/>
          </w:placeholder>
          <w:temporary/>
        </w:sdtPr>
        <w:sdtEndPr>
          <w:rPr>
            <w:highlight w:val="lightGray"/>
          </w:rPr>
        </w:sdtEndPr>
        <w:sdtContent>
          <w:r w:rsidR="00615374" w:rsidRPr="005F0F2B">
            <w:rPr>
              <w:rFonts w:ascii="IBM Plex Sans" w:hAnsi="IBM Plex Sans"/>
              <w:color w:val="0D0D0D" w:themeColor="text1" w:themeTint="F2"/>
              <w:sz w:val="22"/>
              <w:szCs w:val="22"/>
              <w:highlight w:val="lightGray"/>
              <w:lang w:val="en-GB"/>
            </w:rPr>
            <w:t>[number]</w:t>
          </w:r>
        </w:sdtContent>
      </w:sdt>
      <w:r w:rsidR="00615374"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t>days of receipt, failing which the purchase order shall be deemed to have been confirmed by the Seller.</w:t>
      </w:r>
      <w:bookmarkEnd w:id="1"/>
    </w:p>
    <w:p w14:paraId="1AA1AF8C"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47D8612E"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All purchase orders for the Product shall contain the following minimum information: (</w:t>
      </w:r>
      <w:proofErr w:type="spellStart"/>
      <w:r w:rsidRPr="005F0F2B">
        <w:rPr>
          <w:rFonts w:ascii="IBM Plex Sans" w:hAnsi="IBM Plex Sans"/>
          <w:color w:val="0D0D0D" w:themeColor="text1" w:themeTint="F2"/>
          <w:sz w:val="22"/>
          <w:szCs w:val="22"/>
          <w:lang w:val="en-GB"/>
        </w:rPr>
        <w:t>i</w:t>
      </w:r>
      <w:proofErr w:type="spellEnd"/>
      <w:r w:rsidRPr="005F0F2B">
        <w:rPr>
          <w:rFonts w:ascii="IBM Plex Sans" w:hAnsi="IBM Plex Sans"/>
          <w:color w:val="0D0D0D" w:themeColor="text1" w:themeTint="F2"/>
          <w:sz w:val="22"/>
          <w:szCs w:val="22"/>
          <w:lang w:val="en-GB"/>
        </w:rPr>
        <w:t>) A reference to the Agreement, (ii) date of purchase order, (iii) purchase order number, (iv) item number, (v) quantity, (vi) price, (vii) delivery address, and (viii) delivery date.</w:t>
      </w:r>
    </w:p>
    <w:p w14:paraId="5314FAF3"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66EC22ED" w14:textId="7427BA06"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By the </w:t>
      </w:r>
      <w:sdt>
        <w:sdtPr>
          <w:rPr>
            <w:rFonts w:ascii="IBM Plex Sans" w:hAnsi="IBM Plex Sans"/>
            <w:color w:val="0D0D0D" w:themeColor="text1" w:themeTint="F2"/>
            <w:sz w:val="22"/>
            <w:szCs w:val="22"/>
            <w:lang w:val="en-GB"/>
          </w:rPr>
          <w:id w:val="-919789747"/>
          <w:placeholder>
            <w:docPart w:val="FEEFDC6FBFCF4A788F9FB148F2007F6D"/>
          </w:placeholder>
          <w:temporary/>
        </w:sdtPr>
        <w:sdtEndPr>
          <w:rPr>
            <w:highlight w:val="lightGray"/>
          </w:rPr>
        </w:sdtEndPr>
        <w:sdtContent>
          <w:r w:rsidR="00615374"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 of each month, the Buyer shall submit to the Seller a written forecast of the Buyer’s anticipated requirements for the Product for the following </w:t>
      </w:r>
      <w:sdt>
        <w:sdtPr>
          <w:rPr>
            <w:rFonts w:ascii="IBM Plex Sans" w:hAnsi="IBM Plex Sans"/>
            <w:color w:val="0D0D0D" w:themeColor="text1" w:themeTint="F2"/>
            <w:sz w:val="22"/>
            <w:szCs w:val="22"/>
            <w:lang w:val="en-GB"/>
          </w:rPr>
          <w:id w:val="-422181076"/>
          <w:placeholder>
            <w:docPart w:val="CA7F386EBD4E4A9CA605625D8120A7B2"/>
          </w:placeholder>
          <w:temporary/>
        </w:sdtPr>
        <w:sdtEndPr>
          <w:rPr>
            <w:highlight w:val="lightGray"/>
          </w:rPr>
        </w:sdtEndPr>
        <w:sdtContent>
          <w:r w:rsidR="00615374" w:rsidRPr="005F0F2B">
            <w:rPr>
              <w:rFonts w:ascii="IBM Plex Sans" w:hAnsi="IBM Plex Sans"/>
              <w:color w:val="0D0D0D" w:themeColor="text1" w:themeTint="F2"/>
              <w:sz w:val="22"/>
              <w:szCs w:val="22"/>
              <w:highlight w:val="lightGray"/>
              <w:lang w:val="en-GB"/>
            </w:rPr>
            <w:t>[number]</w:t>
          </w:r>
        </w:sdtContent>
      </w:sdt>
      <w:r w:rsidR="00615374"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t>-month period. The forecast shall not be binding on the Parties and shall be used for planning purposes only.</w:t>
      </w:r>
    </w:p>
    <w:p w14:paraId="0C04D876"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20C4ACDD" w14:textId="0D2C6090"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Delivery</w:t>
      </w:r>
    </w:p>
    <w:p w14:paraId="34284B4A" w14:textId="4F9F85F0"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Seller shall deliver the Product to the Buyer within a lead time of </w:t>
      </w:r>
      <w:sdt>
        <w:sdtPr>
          <w:rPr>
            <w:rFonts w:ascii="IBM Plex Sans" w:hAnsi="IBM Plex Sans"/>
            <w:color w:val="0D0D0D" w:themeColor="text1" w:themeTint="F2"/>
            <w:sz w:val="22"/>
            <w:szCs w:val="22"/>
            <w:lang w:val="en-GB"/>
          </w:rPr>
          <w:id w:val="-1687205727"/>
          <w:placeholder>
            <w:docPart w:val="E0628FF31DDA41BD823D6E22F8746491"/>
          </w:placeholder>
          <w:temporary/>
        </w:sdtPr>
        <w:sdtEndPr>
          <w:rPr>
            <w:highlight w:val="lightGray"/>
          </w:rPr>
        </w:sdtEndPr>
        <w:sdtContent>
          <w:r w:rsidR="00615374"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from receipt of the Buyer’s purchase order.</w:t>
      </w:r>
    </w:p>
    <w:p w14:paraId="08DD27C8"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274BEB97" w14:textId="680DBC7B"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lastRenderedPageBreak/>
        <w:t xml:space="preserve">The Product shall be delivered </w:t>
      </w:r>
      <w:sdt>
        <w:sdtPr>
          <w:rPr>
            <w:rFonts w:ascii="IBM Plex Sans" w:hAnsi="IBM Plex Sans"/>
            <w:color w:val="0D0D0D" w:themeColor="text1" w:themeTint="F2"/>
            <w:sz w:val="22"/>
            <w:szCs w:val="22"/>
            <w:lang w:val="en-GB"/>
          </w:rPr>
          <w:id w:val="-469209408"/>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[delivery term]</w:t>
          </w:r>
        </w:sdtContent>
      </w:sdt>
      <w:r w:rsidRPr="005F0F2B">
        <w:rPr>
          <w:rFonts w:ascii="IBM Plex Sans" w:hAnsi="IBM Plex Sans"/>
          <w:color w:val="0D0D0D" w:themeColor="text1" w:themeTint="F2"/>
          <w:sz w:val="22"/>
          <w:szCs w:val="22"/>
          <w:lang w:val="en-GB"/>
        </w:rPr>
        <w:t xml:space="preserve"> in accordance with Incoterms as published by the International Chamber of Commerce from time to time. Risk of loss of or damage to the Products shall pass to the Buyer upon delivery in accordance with the agreed delivery term.</w:t>
      </w:r>
    </w:p>
    <w:p w14:paraId="2699C1B8"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73A97CB8"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Product shall be packed in a manner which is in line with the packing requirements set out in Appendix A hereto and which is adequate to minimize damage during transport.</w:t>
      </w:r>
    </w:p>
    <w:p w14:paraId="4822869F" w14:textId="48CCFF09" w:rsidR="005F0F2B" w:rsidRDefault="005F0F2B" w:rsidP="005F0F2B">
      <w:pPr>
        <w:spacing w:line="276" w:lineRule="auto"/>
        <w:rPr>
          <w:rFonts w:ascii="IBM Plex Sans" w:hAnsi="IBM Plex Sans"/>
          <w:b/>
          <w:color w:val="0D0D0D" w:themeColor="text1" w:themeTint="F2"/>
          <w:sz w:val="22"/>
          <w:szCs w:val="22"/>
          <w:lang w:val="en-GB"/>
        </w:rPr>
      </w:pPr>
    </w:p>
    <w:p w14:paraId="7B60DA87" w14:textId="77777777" w:rsidR="00615374" w:rsidRPr="005F0F2B" w:rsidRDefault="00615374" w:rsidP="005F0F2B">
      <w:pPr>
        <w:spacing w:line="276" w:lineRule="auto"/>
        <w:rPr>
          <w:rFonts w:ascii="IBM Plex Sans" w:hAnsi="IBM Plex Sans"/>
          <w:b/>
          <w:color w:val="0D0D0D" w:themeColor="text1" w:themeTint="F2"/>
          <w:sz w:val="22"/>
          <w:szCs w:val="22"/>
          <w:lang w:val="en-GB"/>
        </w:rPr>
      </w:pPr>
    </w:p>
    <w:p w14:paraId="00BB50D0" w14:textId="294C52FE"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Price and payment</w:t>
      </w:r>
    </w:p>
    <w:p w14:paraId="2D17FEA0" w14:textId="5736B155"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price of the Product shall be </w:t>
      </w:r>
      <w:sdt>
        <w:sdtPr>
          <w:rPr>
            <w:rFonts w:ascii="IBM Plex Sans" w:hAnsi="IBM Plex Sans"/>
            <w:color w:val="0D0D0D" w:themeColor="text1" w:themeTint="F2"/>
            <w:sz w:val="22"/>
            <w:szCs w:val="22"/>
            <w:lang w:val="en-GB"/>
          </w:rPr>
          <w:id w:val="-797223875"/>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[amount and currency]</w:t>
          </w:r>
        </w:sdtContent>
      </w:sdt>
      <w:r w:rsidRPr="005F0F2B">
        <w:rPr>
          <w:rFonts w:ascii="IBM Plex Sans" w:hAnsi="IBM Plex Sans"/>
          <w:color w:val="0D0D0D" w:themeColor="text1" w:themeTint="F2"/>
          <w:sz w:val="22"/>
          <w:szCs w:val="22"/>
          <w:lang w:val="en-GB"/>
        </w:rPr>
        <w:t xml:space="preserve"> per unit exclusive of value added or similar taxes.</w:t>
      </w:r>
    </w:p>
    <w:p w14:paraId="0C900969"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0CC5B27D" w14:textId="046F5328"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Seller shall submit invoices for the Product to the Buyer upon shipment. All correctly rendered invoices shall be paid by the Buyer within </w:t>
      </w:r>
      <w:sdt>
        <w:sdtPr>
          <w:rPr>
            <w:rFonts w:ascii="IBM Plex Sans" w:hAnsi="IBM Plex Sans"/>
            <w:color w:val="0D0D0D" w:themeColor="text1" w:themeTint="F2"/>
            <w:sz w:val="22"/>
            <w:szCs w:val="22"/>
            <w:lang w:val="en-GB"/>
          </w:rPr>
          <w:id w:val="1975948844"/>
          <w:placeholder>
            <w:docPart w:val="4812AF335DDC44A48191FF5F96051ED9"/>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0066735A"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t>days of receipt of invoice.</w:t>
      </w:r>
    </w:p>
    <w:p w14:paraId="175D1D1F"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6A32F6D4" w14:textId="77D4BB2A"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If the Buyer fails to pay a correctly rendered invoice by the due date for payment, the Seller may charge interest on the amount outstanding from the due date until payment is made at the rate of </w:t>
      </w:r>
      <w:sdt>
        <w:sdtPr>
          <w:rPr>
            <w:rFonts w:ascii="IBM Plex Sans" w:hAnsi="IBM Plex Sans"/>
            <w:color w:val="0D0D0D" w:themeColor="text1" w:themeTint="F2"/>
            <w:sz w:val="22"/>
            <w:szCs w:val="22"/>
            <w:lang w:val="en-GB"/>
          </w:rPr>
          <w:id w:val="-1683196556"/>
          <w:placeholder>
            <w:docPart w:val="F32FC9C042F44862A491EEE6E15EEF91"/>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0066735A"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t>% per annum.</w:t>
      </w:r>
    </w:p>
    <w:p w14:paraId="40340CED"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74B70D6F" w14:textId="6188203D"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bookmarkStart w:id="2" w:name="_Ref297106732"/>
      <w:r w:rsidRPr="005F0F2B">
        <w:rPr>
          <w:rFonts w:ascii="IBM Plex Sans" w:hAnsi="IBM Plex Sans"/>
          <w:b/>
          <w:color w:val="0D0D0D" w:themeColor="text1" w:themeTint="F2"/>
          <w:sz w:val="22"/>
          <w:szCs w:val="22"/>
          <w:lang w:val="en-GB"/>
        </w:rPr>
        <w:t>Product warranty</w:t>
      </w:r>
      <w:bookmarkEnd w:id="2"/>
    </w:p>
    <w:p w14:paraId="2D8B426D" w14:textId="41A79BAC"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3" w:name="_Ref297106406"/>
      <w:r w:rsidRPr="005F0F2B">
        <w:rPr>
          <w:rFonts w:ascii="IBM Plex Sans" w:hAnsi="IBM Plex Sans"/>
          <w:color w:val="0D0D0D" w:themeColor="text1" w:themeTint="F2"/>
          <w:sz w:val="22"/>
          <w:szCs w:val="22"/>
          <w:lang w:val="en-GB"/>
        </w:rPr>
        <w:t xml:space="preserve">The Seller warrants that for a period of </w:t>
      </w:r>
      <w:sdt>
        <w:sdtPr>
          <w:rPr>
            <w:rFonts w:ascii="IBM Plex Sans" w:hAnsi="IBM Plex Sans"/>
            <w:color w:val="0D0D0D" w:themeColor="text1" w:themeTint="F2"/>
            <w:sz w:val="22"/>
            <w:szCs w:val="22"/>
            <w:lang w:val="en-GB"/>
          </w:rPr>
          <w:id w:val="-394816610"/>
          <w:placeholder>
            <w:docPart w:val="ACC5F91CD2D548459B6BBAA4A52B1278"/>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months from the date of delivery (“Warranty Period”) the Product will be free from material defects in design, materials and workmanship and will substantially conform to the specifications set out in Appendix A hereto.</w:t>
      </w:r>
      <w:bookmarkEnd w:id="3"/>
    </w:p>
    <w:p w14:paraId="5280270A"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19668380"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Seller shall, at its option and expense, repair or replace any defective Product or part(s) within a reasonable time, provided always that the Buyer notifies the Seller of such warranty claim in writing without undue delay and within the Warranty Period.</w:t>
      </w:r>
    </w:p>
    <w:p w14:paraId="0CCF8950"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10D3844D"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Upon the Seller’s request, the Buyer shall, at its risk and expense, return any defective Product or part(s) to the Seller in accordance with the Seller’s return instructions. Upon completion of repairs or replacements, any returned defective Product or part(s) shall become the property of the Seller. </w:t>
      </w:r>
    </w:p>
    <w:p w14:paraId="1D874754"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69C834AF" w14:textId="3EE97B3E"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All repairs and replacements made under the warranty of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_Ref297106732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7</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are warranted for </w:t>
      </w:r>
      <w:sdt>
        <w:sdtPr>
          <w:rPr>
            <w:rFonts w:ascii="IBM Plex Sans" w:hAnsi="IBM Plex Sans"/>
            <w:color w:val="0D0D0D" w:themeColor="text1" w:themeTint="F2"/>
            <w:sz w:val="22"/>
            <w:szCs w:val="22"/>
            <w:lang w:val="en-GB"/>
          </w:rPr>
          <w:id w:val="1928066978"/>
          <w:placeholder>
            <w:docPart w:val="A8CE5E7D81FE4E6FACAF9BAC7D0A0881"/>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from the date of repair or replacement or for the remainder of the Warranty Period of the original Product, whichever is longer.</w:t>
      </w:r>
    </w:p>
    <w:p w14:paraId="409A0F3E"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7147860D" w14:textId="2471E62E"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lastRenderedPageBreak/>
        <w:t xml:space="preserve">The warranty of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_Ref297106732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7</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excludes defects resulting from: (</w:t>
      </w:r>
      <w:proofErr w:type="spellStart"/>
      <w:r w:rsidRPr="005F0F2B">
        <w:rPr>
          <w:rFonts w:ascii="IBM Plex Sans" w:hAnsi="IBM Plex Sans"/>
          <w:color w:val="0D0D0D" w:themeColor="text1" w:themeTint="F2"/>
          <w:sz w:val="22"/>
          <w:szCs w:val="22"/>
          <w:lang w:val="en-GB"/>
        </w:rPr>
        <w:t>i</w:t>
      </w:r>
      <w:proofErr w:type="spellEnd"/>
      <w:r w:rsidRPr="005F0F2B">
        <w:rPr>
          <w:rFonts w:ascii="IBM Plex Sans" w:hAnsi="IBM Plex Sans"/>
          <w:color w:val="0D0D0D" w:themeColor="text1" w:themeTint="F2"/>
          <w:sz w:val="22"/>
          <w:szCs w:val="22"/>
          <w:lang w:val="en-GB"/>
        </w:rPr>
        <w:t>) normal wear, tear or deterioration, (ii) accident, corrosion or other external cause, (iii) improper storage, installation, service, maintenance or use, and (iv) repairs or modifications not authorised by the Seller.</w:t>
      </w:r>
    </w:p>
    <w:p w14:paraId="5FEE9A54"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5FA38139" w14:textId="2A6D950C"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warranty of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_Ref297106732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7</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excludes all other warranties, whether express, implied, statutory or otherwise. The Buyer’s sole and exclusive remedies for defects in the Product shall be as set out in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_Ref297106732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7</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w:t>
      </w:r>
    </w:p>
    <w:p w14:paraId="1EA15973"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7D0752EA" w14:textId="021FEB43"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bookmarkStart w:id="4" w:name="_Ref297118063"/>
      <w:r w:rsidRPr="005F0F2B">
        <w:rPr>
          <w:rFonts w:ascii="IBM Plex Sans" w:hAnsi="IBM Plex Sans"/>
          <w:b/>
          <w:color w:val="0D0D0D" w:themeColor="text1" w:themeTint="F2"/>
          <w:sz w:val="22"/>
          <w:szCs w:val="22"/>
          <w:lang w:val="en-GB"/>
        </w:rPr>
        <w:t>Product liability</w:t>
      </w:r>
    </w:p>
    <w:p w14:paraId="1D04D405"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Seller shall be liable for any death, personal injury and damage to property caused by the Product in accordance with applicable law.</w:t>
      </w:r>
    </w:p>
    <w:p w14:paraId="5D4684C7"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7560B2A3" w14:textId="72D845FD"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For the term of the Agreement and for </w:t>
      </w:r>
      <w:sdt>
        <w:sdtPr>
          <w:rPr>
            <w:rFonts w:ascii="IBM Plex Sans" w:hAnsi="IBM Plex Sans"/>
            <w:color w:val="0D0D0D" w:themeColor="text1" w:themeTint="F2"/>
            <w:sz w:val="22"/>
            <w:szCs w:val="22"/>
            <w:lang w:val="en-GB"/>
          </w:rPr>
          <w:id w:val="1160590645"/>
          <w:placeholder>
            <w:docPart w:val="F3839E5198624A8EBBC2AA8F49C493E9"/>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years thereafter, the Seller shall maintain adequate product liability insurance with a minimum cover of </w:t>
      </w:r>
      <w:sdt>
        <w:sdtPr>
          <w:rPr>
            <w:rFonts w:ascii="IBM Plex Sans" w:hAnsi="IBM Plex Sans"/>
            <w:color w:val="0D0D0D" w:themeColor="text1" w:themeTint="F2"/>
            <w:sz w:val="22"/>
            <w:szCs w:val="22"/>
            <w:lang w:val="en-GB"/>
          </w:rPr>
          <w:id w:val="-603803320"/>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[amount and currency]</w:t>
          </w:r>
        </w:sdtContent>
      </w:sdt>
      <w:r w:rsidRPr="005F0F2B">
        <w:rPr>
          <w:rFonts w:ascii="IBM Plex Sans" w:hAnsi="IBM Plex Sans"/>
          <w:color w:val="0D0D0D" w:themeColor="text1" w:themeTint="F2"/>
          <w:sz w:val="22"/>
          <w:szCs w:val="22"/>
          <w:lang w:val="en-GB"/>
        </w:rPr>
        <w:t xml:space="preserve"> per incident.</w:t>
      </w:r>
    </w:p>
    <w:p w14:paraId="19B20A15" w14:textId="44874E8A" w:rsid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15DCED56" w14:textId="153F5309" w:rsid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60D52E37" w14:textId="57380048"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bookmarkStart w:id="5" w:name="_Ref297122088"/>
      <w:r w:rsidRPr="005F0F2B">
        <w:rPr>
          <w:rFonts w:ascii="IBM Plex Sans" w:hAnsi="IBM Plex Sans"/>
          <w:b/>
          <w:color w:val="0D0D0D" w:themeColor="text1" w:themeTint="F2"/>
          <w:sz w:val="22"/>
          <w:szCs w:val="22"/>
          <w:lang w:val="en-GB"/>
        </w:rPr>
        <w:t xml:space="preserve">Patent </w:t>
      </w:r>
      <w:bookmarkEnd w:id="4"/>
      <w:bookmarkEnd w:id="5"/>
      <w:r w:rsidRPr="005F0F2B">
        <w:rPr>
          <w:rFonts w:ascii="IBM Plex Sans" w:hAnsi="IBM Plex Sans"/>
          <w:b/>
          <w:color w:val="0D0D0D" w:themeColor="text1" w:themeTint="F2"/>
          <w:sz w:val="22"/>
          <w:szCs w:val="22"/>
          <w:lang w:val="en-GB"/>
        </w:rPr>
        <w:t>infringement</w:t>
      </w:r>
    </w:p>
    <w:p w14:paraId="6D5AEE7C"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If the Buyer receives a claim or otherwise becomes aware that the Product or any part thereof infringes a third-party patent or other proprietary right, the Buyer shall notify the Seller immediately in writing.</w:t>
      </w:r>
    </w:p>
    <w:p w14:paraId="547C0A93"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35AE893D"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Seller shall, at its expense, be entitled to participate in the defence of any claim against the Buyer that the Product or any part thereof infringes a third-party patent or other proprietary right (“Claim”).</w:t>
      </w:r>
    </w:p>
    <w:p w14:paraId="03D3A8DA"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6A0175CE"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The Seller shall indemnify the Buyer against any and all expenses and damages resulting from any Claim if a final judgment is rendered against the Buyer. The Seller shall pay the cost of any settlement only, if a Claim is settled with the consent of the Seller.</w:t>
      </w:r>
    </w:p>
    <w:p w14:paraId="55114C08"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139EB3D6"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If the Buyer’s or the Buyer’s customers’ use of the Product is enjoined, the Seller shall, at its option and expense: (</w:t>
      </w:r>
      <w:proofErr w:type="spellStart"/>
      <w:r w:rsidRPr="005F0F2B">
        <w:rPr>
          <w:rFonts w:ascii="IBM Plex Sans" w:hAnsi="IBM Plex Sans"/>
          <w:color w:val="0D0D0D" w:themeColor="text1" w:themeTint="F2"/>
          <w:sz w:val="22"/>
          <w:szCs w:val="22"/>
          <w:lang w:val="en-GB"/>
        </w:rPr>
        <w:t>i</w:t>
      </w:r>
      <w:proofErr w:type="spellEnd"/>
      <w:r w:rsidRPr="005F0F2B">
        <w:rPr>
          <w:rFonts w:ascii="IBM Plex Sans" w:hAnsi="IBM Plex Sans"/>
          <w:color w:val="0D0D0D" w:themeColor="text1" w:themeTint="F2"/>
          <w:sz w:val="22"/>
          <w:szCs w:val="22"/>
          <w:lang w:val="en-GB"/>
        </w:rPr>
        <w:t>) replace the infringing Product or part(s) with a suitable substitute free of any infringement, (ii) modify the infringing Product or part(s) so that it or they will be free of any infringement, (iii) procure for the Buyer and its customers a right to use the infringing Product, or (iv) recall the infringing Product and refund to the Buyer any amounts paid to the Seller in respect thereof less a reasonable deduction for any actual period of use.</w:t>
      </w:r>
    </w:p>
    <w:p w14:paraId="4A65E5EB"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423245A8" w14:textId="7C3B7689"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lastRenderedPageBreak/>
        <w:t xml:space="preserve">The Seller’s liability with respect to any Claim shall be limited to the specific undertakings in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_Ref297122088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9</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The Buyer’s sole and exclusive remedies with respect to any Claim shall be as set out in this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_Ref297122088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9</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w:t>
      </w:r>
    </w:p>
    <w:p w14:paraId="1DA71D58"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171B1FFC" w14:textId="3F88E161"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bookmarkStart w:id="6" w:name="_Ref297119639"/>
      <w:r w:rsidRPr="005F0F2B">
        <w:rPr>
          <w:rFonts w:ascii="IBM Plex Sans" w:hAnsi="IBM Plex Sans"/>
          <w:b/>
          <w:color w:val="0D0D0D" w:themeColor="text1" w:themeTint="F2"/>
          <w:sz w:val="22"/>
          <w:szCs w:val="22"/>
          <w:lang w:val="en-GB"/>
        </w:rPr>
        <w:t>Confidentiality</w:t>
      </w:r>
      <w:bookmarkEnd w:id="6"/>
    </w:p>
    <w:p w14:paraId="06A6C9C3"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7" w:name="_Ref296502630"/>
      <w:r w:rsidRPr="005F0F2B">
        <w:rPr>
          <w:rFonts w:ascii="IBM Plex Sans" w:hAnsi="IBM Plex Sans"/>
          <w:color w:val="0D0D0D" w:themeColor="text1" w:themeTint="F2"/>
          <w:sz w:val="22"/>
          <w:szCs w:val="22"/>
          <w:lang w:val="en-GB"/>
        </w:rPr>
        <w:t>A Party shall keep all information obtained from the other Party in connection with the performance of the Agreement strictly confidential and shall not disclose such information to any third party or use it for any purpose other than the performance of the Agreement without the other Party’s prior written consent.</w:t>
      </w:r>
      <w:bookmarkEnd w:id="7"/>
    </w:p>
    <w:p w14:paraId="4796EEB1"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044FE6A1"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8" w:name="_Ref296504341"/>
      <w:r w:rsidRPr="005F0F2B">
        <w:rPr>
          <w:rFonts w:ascii="IBM Plex Sans" w:hAnsi="IBM Plex Sans"/>
          <w:color w:val="0D0D0D" w:themeColor="text1" w:themeTint="F2"/>
          <w:sz w:val="22"/>
          <w:szCs w:val="22"/>
          <w:lang w:val="en-GB"/>
        </w:rPr>
        <w:t xml:space="preserve">The restrictions in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_Ref296502630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10.1</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hereof shall not apply to any information generally available to the public, obtained by a Party in good faith from a third party, independently developed by a Party without use of the other Party’s information or required to be disclosed by law.</w:t>
      </w:r>
      <w:bookmarkEnd w:id="8"/>
    </w:p>
    <w:p w14:paraId="084F584D"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504976E9" w14:textId="657AF033" w:rsidR="005F0F2B" w:rsidRPr="005F0F2B" w:rsidRDefault="005F0F2B" w:rsidP="005F0F2B">
      <w:pPr>
        <w:pStyle w:val="Listeafsnit"/>
        <w:numPr>
          <w:ilvl w:val="0"/>
          <w:numId w:val="8"/>
        </w:numPr>
        <w:spacing w:line="276" w:lineRule="auto"/>
        <w:ind w:left="567" w:hanging="567"/>
        <w:rPr>
          <w:rFonts w:ascii="IBM Plex Sans" w:hAnsi="IBM Plex Sans" w:cs="Arial"/>
          <w:b/>
          <w:color w:val="0D0D0D" w:themeColor="text1" w:themeTint="F2"/>
          <w:sz w:val="22"/>
          <w:szCs w:val="22"/>
        </w:rPr>
      </w:pPr>
      <w:r w:rsidRPr="005F0F2B">
        <w:rPr>
          <w:rFonts w:ascii="IBM Plex Sans" w:hAnsi="IBM Plex Sans" w:cs="Arial"/>
          <w:b/>
          <w:color w:val="0D0D0D" w:themeColor="text1" w:themeTint="F2"/>
          <w:sz w:val="22"/>
          <w:szCs w:val="22"/>
        </w:rPr>
        <w:t xml:space="preserve">Processing of </w:t>
      </w:r>
      <w:proofErr w:type="spellStart"/>
      <w:r w:rsidRPr="005F0F2B">
        <w:rPr>
          <w:rFonts w:ascii="IBM Plex Sans" w:hAnsi="IBM Plex Sans" w:cs="Arial"/>
          <w:b/>
          <w:color w:val="0D0D0D" w:themeColor="text1" w:themeTint="F2"/>
          <w:sz w:val="22"/>
          <w:szCs w:val="22"/>
        </w:rPr>
        <w:t>personal</w:t>
      </w:r>
      <w:proofErr w:type="spellEnd"/>
      <w:r w:rsidRPr="005F0F2B">
        <w:rPr>
          <w:rFonts w:ascii="IBM Plex Sans" w:hAnsi="IBM Plex Sans" w:cs="Arial"/>
          <w:b/>
          <w:color w:val="0D0D0D" w:themeColor="text1" w:themeTint="F2"/>
          <w:sz w:val="22"/>
          <w:szCs w:val="22"/>
        </w:rPr>
        <w:t xml:space="preserve"> data</w:t>
      </w:r>
    </w:p>
    <w:p w14:paraId="2D63B345" w14:textId="77777777" w:rsidR="005F0F2B" w:rsidRPr="005F0F2B" w:rsidRDefault="005F0F2B" w:rsidP="005F0F2B">
      <w:pPr>
        <w:pStyle w:val="Listeafsnit"/>
        <w:numPr>
          <w:ilvl w:val="1"/>
          <w:numId w:val="8"/>
        </w:numPr>
        <w:spacing w:line="276" w:lineRule="auto"/>
        <w:ind w:left="567" w:hanging="567"/>
        <w:jc w:val="both"/>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[the Buyer/Seller] processes personal data with due observance of the General Data Protection Regulation and law. Information on  [the Buyer’s/Seller’s] name, address, e-mail, telephone number, etc. can solely be used in connection with [the Buyer’s/Seller’s] orders, communication and [other specific purposes]. </w:t>
      </w:r>
    </w:p>
    <w:p w14:paraId="64E123BF" w14:textId="77777777" w:rsidR="005F0F2B" w:rsidRPr="005F0F2B" w:rsidRDefault="005F0F2B" w:rsidP="005F0F2B">
      <w:pPr>
        <w:spacing w:line="276" w:lineRule="auto"/>
        <w:ind w:left="567" w:hanging="567"/>
        <w:rPr>
          <w:rFonts w:ascii="IBM Plex Sans" w:hAnsi="IBM Plex Sans" w:cs="Arial"/>
          <w:color w:val="0D0D0D" w:themeColor="text1" w:themeTint="F2"/>
          <w:sz w:val="22"/>
          <w:szCs w:val="22"/>
          <w:lang w:val="en-US"/>
        </w:rPr>
      </w:pPr>
    </w:p>
    <w:p w14:paraId="2C2553BE" w14:textId="77777777" w:rsidR="005F0F2B" w:rsidRPr="005F0F2B" w:rsidRDefault="005F0F2B" w:rsidP="005F0F2B">
      <w:pPr>
        <w:pStyle w:val="Listeafsnit"/>
        <w:numPr>
          <w:ilvl w:val="1"/>
          <w:numId w:val="8"/>
        </w:numPr>
        <w:spacing w:line="276" w:lineRule="auto"/>
        <w:ind w:left="567" w:hanging="567"/>
        <w:jc w:val="both"/>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[the Buyer/Seller] complies with the rights of the data subject </w:t>
      </w:r>
      <w:r w:rsidRPr="005F0F2B">
        <w:rPr>
          <w:rStyle w:val="Fremhv"/>
          <w:rFonts w:ascii="IBM Plex Sans" w:hAnsi="IBM Plex Sans" w:cs="Arial"/>
          <w:color w:val="0D0D0D" w:themeColor="text1" w:themeTint="F2"/>
          <w:sz w:val="22"/>
          <w:szCs w:val="22"/>
          <w:lang w:val="en-US"/>
        </w:rPr>
        <w:t>(including right of access, rectification, deletion, limitation of processing, objection, data portability, complaint and right not to be subject to a decision based solely on automatic processing, including profiling)</w:t>
      </w:r>
      <w:r w:rsidRPr="005F0F2B">
        <w:rPr>
          <w:rFonts w:ascii="IBM Plex Sans" w:hAnsi="IBM Plex Sans" w:cs="Arial"/>
          <w:color w:val="0D0D0D" w:themeColor="text1" w:themeTint="F2"/>
          <w:sz w:val="22"/>
          <w:szCs w:val="22"/>
          <w:lang w:val="en-US"/>
        </w:rPr>
        <w:t xml:space="preserve">. </w:t>
      </w:r>
    </w:p>
    <w:p w14:paraId="2F0A7571" w14:textId="77777777" w:rsidR="005F0F2B" w:rsidRPr="005F0F2B" w:rsidRDefault="005F0F2B" w:rsidP="005F0F2B">
      <w:pPr>
        <w:spacing w:line="276" w:lineRule="auto"/>
        <w:ind w:left="567" w:hanging="567"/>
        <w:rPr>
          <w:rFonts w:ascii="IBM Plex Sans" w:hAnsi="IBM Plex Sans" w:cs="Arial"/>
          <w:color w:val="0D0D0D" w:themeColor="text1" w:themeTint="F2"/>
          <w:sz w:val="22"/>
          <w:szCs w:val="22"/>
          <w:lang w:val="en-US"/>
        </w:rPr>
      </w:pPr>
    </w:p>
    <w:p w14:paraId="3F484C96" w14:textId="77777777" w:rsidR="005F0F2B" w:rsidRPr="005F0F2B" w:rsidRDefault="005F0F2B" w:rsidP="005F0F2B">
      <w:pPr>
        <w:pStyle w:val="Listeafsnit"/>
        <w:numPr>
          <w:ilvl w:val="1"/>
          <w:numId w:val="8"/>
        </w:numPr>
        <w:spacing w:line="276" w:lineRule="auto"/>
        <w:ind w:left="567" w:hanging="567"/>
        <w:jc w:val="both"/>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[the Buyer/Seller] will store the data for as long as is necessary for the purpose for which it is processed. [the Buyer/Seller] can neither disclose, sell nor otherwise transfer information to third parties, unless the customer has agreed to the same. </w:t>
      </w:r>
    </w:p>
    <w:p w14:paraId="53AEFCD8" w14:textId="77777777" w:rsidR="005F0F2B" w:rsidRPr="005F0F2B" w:rsidRDefault="005F0F2B" w:rsidP="005F0F2B">
      <w:pPr>
        <w:spacing w:line="276" w:lineRule="auto"/>
        <w:ind w:left="567" w:hanging="567"/>
        <w:rPr>
          <w:rFonts w:ascii="IBM Plex Sans" w:hAnsi="IBM Plex Sans" w:cs="Arial"/>
          <w:color w:val="0D0D0D" w:themeColor="text1" w:themeTint="F2"/>
          <w:sz w:val="22"/>
          <w:szCs w:val="22"/>
          <w:lang w:val="en-US"/>
        </w:rPr>
      </w:pPr>
    </w:p>
    <w:p w14:paraId="7B26C8F3" w14:textId="77777777" w:rsidR="005F0F2B" w:rsidRPr="005F0F2B" w:rsidRDefault="005F0F2B" w:rsidP="005F0F2B">
      <w:pPr>
        <w:pStyle w:val="Listeafsnit"/>
        <w:numPr>
          <w:ilvl w:val="1"/>
          <w:numId w:val="8"/>
        </w:numPr>
        <w:spacing w:line="276" w:lineRule="auto"/>
        <w:ind w:left="567" w:hanging="567"/>
        <w:jc w:val="both"/>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If [the Buyer/Seller] wants information on which data is being processed, having data erased or corrected, [the Buyer/Seller] should contact [the Buyer’s/ Seller's contact details, contact person (if any)]. </w:t>
      </w:r>
    </w:p>
    <w:p w14:paraId="5D31A71F"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lang w:val="en-GB"/>
        </w:rPr>
      </w:pPr>
    </w:p>
    <w:p w14:paraId="784A8512" w14:textId="10DDCC8C"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Limitation of liability</w:t>
      </w:r>
    </w:p>
    <w:p w14:paraId="5DDFEA57" w14:textId="61A76F19"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A Party shall not be responsible for any failure to fulfil any term or condition of the Agreement due to an event outside its reasonable control (force majeure). If such event continues for </w:t>
      </w:r>
      <w:sdt>
        <w:sdtPr>
          <w:rPr>
            <w:rFonts w:ascii="IBM Plex Sans" w:hAnsi="IBM Plex Sans"/>
            <w:color w:val="0D0D0D" w:themeColor="text1" w:themeTint="F2"/>
            <w:sz w:val="22"/>
            <w:szCs w:val="22"/>
            <w:lang w:val="en-GB"/>
          </w:rPr>
          <w:id w:val="2104910535"/>
          <w:placeholder>
            <w:docPart w:val="6744446D43E34FF99E78DEECF6F85ED2"/>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or more, the non-affected Party may terminate the Agreement by written notice and without liability to the affected Party.</w:t>
      </w:r>
    </w:p>
    <w:p w14:paraId="722DED89"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66FE8A1E" w14:textId="77BBA1C6"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9" w:name="_Ref297119654"/>
      <w:r w:rsidRPr="005F0F2B">
        <w:rPr>
          <w:rFonts w:ascii="IBM Plex Sans" w:eastAsia="Calibri" w:hAnsi="IBM Plex Sans"/>
          <w:color w:val="0D0D0D" w:themeColor="text1" w:themeTint="F2"/>
          <w:sz w:val="22"/>
          <w:szCs w:val="22"/>
          <w:lang w:val="en-GB"/>
        </w:rPr>
        <w:t>Notwithstanding any stipulations to the contrary herein</w:t>
      </w:r>
      <w:r w:rsidRPr="005F0F2B">
        <w:rPr>
          <w:rFonts w:ascii="IBM Plex Sans" w:hAnsi="IBM Plex Sans"/>
          <w:color w:val="0D0D0D" w:themeColor="text1" w:themeTint="F2"/>
          <w:sz w:val="22"/>
          <w:szCs w:val="22"/>
          <w:lang w:val="en-GB"/>
        </w:rPr>
        <w:t xml:space="preserve">, the Seller’s </w:t>
      </w:r>
      <w:r w:rsidRPr="005F0F2B">
        <w:rPr>
          <w:rFonts w:ascii="IBM Plex Sans" w:eastAsia="Calibri" w:hAnsi="IBM Plex Sans"/>
          <w:color w:val="0D0D0D" w:themeColor="text1" w:themeTint="F2"/>
          <w:sz w:val="22"/>
          <w:szCs w:val="22"/>
          <w:lang w:val="en-GB"/>
        </w:rPr>
        <w:t xml:space="preserve">aggregate liability to the </w:t>
      </w:r>
      <w:r w:rsidRPr="005F0F2B">
        <w:rPr>
          <w:rFonts w:ascii="IBM Plex Sans" w:hAnsi="IBM Plex Sans"/>
          <w:color w:val="0D0D0D" w:themeColor="text1" w:themeTint="F2"/>
          <w:sz w:val="22"/>
          <w:szCs w:val="22"/>
          <w:lang w:val="en-GB"/>
        </w:rPr>
        <w:t>Buyer</w:t>
      </w:r>
      <w:r w:rsidRPr="005F0F2B">
        <w:rPr>
          <w:rFonts w:ascii="IBM Plex Sans" w:eastAsia="Calibri"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t>hereunder</w:t>
      </w:r>
      <w:r w:rsidRPr="005F0F2B">
        <w:rPr>
          <w:rFonts w:ascii="IBM Plex Sans" w:eastAsia="Calibri" w:hAnsi="IBM Plex Sans"/>
          <w:color w:val="0D0D0D" w:themeColor="text1" w:themeTint="F2"/>
          <w:sz w:val="22"/>
          <w:szCs w:val="22"/>
          <w:lang w:val="en-GB"/>
        </w:rPr>
        <w:t xml:space="preserve"> shall not exceed</w:t>
      </w:r>
      <w:r w:rsidRPr="005F0F2B">
        <w:rPr>
          <w:rFonts w:ascii="IBM Plex Sans" w:hAnsi="IBM Plex Sans"/>
          <w:color w:val="0D0D0D" w:themeColor="text1" w:themeTint="F2"/>
          <w:sz w:val="22"/>
          <w:szCs w:val="22"/>
          <w:lang w:val="en-GB"/>
        </w:rPr>
        <w:t xml:space="preserve"> </w:t>
      </w:r>
      <w:sdt>
        <w:sdtPr>
          <w:rPr>
            <w:rFonts w:ascii="IBM Plex Sans" w:hAnsi="IBM Plex Sans"/>
            <w:color w:val="0D0D0D" w:themeColor="text1" w:themeTint="F2"/>
            <w:sz w:val="22"/>
            <w:szCs w:val="22"/>
            <w:lang w:val="en-GB"/>
          </w:rPr>
          <w:id w:val="-395057507"/>
          <w:placeholder>
            <w:docPart w:val="DefaultPlaceholder_-1854013440"/>
          </w:placeholder>
          <w:temporary/>
        </w:sdtPr>
        <w:sdtEndPr>
          <w:rPr>
            <w:highlight w:val="lightGray"/>
          </w:rPr>
        </w:sdtEndPr>
        <w:sdtContent>
          <w:r w:rsidRPr="005F0F2B">
            <w:rPr>
              <w:rFonts w:ascii="IBM Plex Sans" w:hAnsi="IBM Plex Sans"/>
              <w:color w:val="0D0D0D" w:themeColor="text1" w:themeTint="F2"/>
              <w:sz w:val="22"/>
              <w:szCs w:val="22"/>
              <w:highlight w:val="lightGray"/>
              <w:lang w:val="en-GB"/>
            </w:rPr>
            <w:t>[amount and currency]</w:t>
          </w:r>
        </w:sdtContent>
      </w:sdt>
      <w:r w:rsidRPr="005F0F2B">
        <w:rPr>
          <w:rFonts w:ascii="IBM Plex Sans" w:hAnsi="IBM Plex Sans"/>
          <w:color w:val="0D0D0D" w:themeColor="text1" w:themeTint="F2"/>
          <w:sz w:val="22"/>
          <w:szCs w:val="22"/>
          <w:lang w:val="en-GB"/>
        </w:rPr>
        <w:t>. I</w:t>
      </w:r>
      <w:r w:rsidRPr="005F0F2B">
        <w:rPr>
          <w:rFonts w:ascii="IBM Plex Sans" w:eastAsia="Calibri" w:hAnsi="IBM Plex Sans"/>
          <w:color w:val="0D0D0D" w:themeColor="text1" w:themeTint="F2"/>
          <w:sz w:val="22"/>
          <w:szCs w:val="22"/>
          <w:lang w:val="en-GB"/>
        </w:rPr>
        <w:t xml:space="preserve">n no event shall the </w:t>
      </w:r>
      <w:r w:rsidRPr="005F0F2B">
        <w:rPr>
          <w:rFonts w:ascii="IBM Plex Sans" w:eastAsia="Calibri" w:hAnsi="IBM Plex Sans"/>
          <w:color w:val="0D0D0D" w:themeColor="text1" w:themeTint="F2"/>
          <w:sz w:val="22"/>
          <w:szCs w:val="22"/>
          <w:lang w:val="en-GB"/>
        </w:rPr>
        <w:lastRenderedPageBreak/>
        <w:t>Seller be liable for any consequential, incidental, special, punitive or exemplary loss, including, but not limited to, loss of profit, loss of revenue, loss of business, loss of goodwil</w:t>
      </w:r>
      <w:r w:rsidRPr="005F0F2B">
        <w:rPr>
          <w:rFonts w:ascii="IBM Plex Sans" w:hAnsi="IBM Plex Sans"/>
          <w:color w:val="0D0D0D" w:themeColor="text1" w:themeTint="F2"/>
          <w:sz w:val="22"/>
          <w:szCs w:val="22"/>
          <w:lang w:val="en-GB"/>
        </w:rPr>
        <w:t>l</w:t>
      </w:r>
      <w:r w:rsidRPr="005F0F2B">
        <w:rPr>
          <w:rFonts w:ascii="IBM Plex Sans" w:eastAsia="Calibri" w:hAnsi="IBM Plex Sans"/>
          <w:color w:val="0D0D0D" w:themeColor="text1" w:themeTint="F2"/>
          <w:sz w:val="22"/>
          <w:szCs w:val="22"/>
          <w:lang w:val="en-GB"/>
        </w:rPr>
        <w:t>, loss of anticipated savings or cost of procuring substitute goods or services.</w:t>
      </w:r>
      <w:bookmarkEnd w:id="9"/>
    </w:p>
    <w:p w14:paraId="4E0589B9"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0EC52E68" w14:textId="1372B272"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Term</w:t>
      </w:r>
    </w:p>
    <w:p w14:paraId="3D91F1D8" w14:textId="69914623"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 xml:space="preserve">The Agreement shall commence when signed by both Parties and shall continue until terminated under Clause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_Ref297122061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12.2</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or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_Ref296502946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12.3</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hereof.</w:t>
      </w:r>
    </w:p>
    <w:p w14:paraId="22F7CFCD"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17EBA745" w14:textId="517E2841"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0" w:name="_Ref297122061"/>
      <w:r w:rsidRPr="005F0F2B">
        <w:rPr>
          <w:rFonts w:ascii="IBM Plex Sans" w:hAnsi="IBM Plex Sans"/>
          <w:color w:val="0D0D0D" w:themeColor="text1" w:themeTint="F2"/>
          <w:sz w:val="22"/>
          <w:szCs w:val="22"/>
          <w:lang w:val="en-GB"/>
        </w:rPr>
        <w:t xml:space="preserve">Either Party may terminate the Agreement at any time for any reason subject to </w:t>
      </w:r>
      <w:sdt>
        <w:sdtPr>
          <w:rPr>
            <w:rFonts w:ascii="IBM Plex Sans" w:hAnsi="IBM Plex Sans"/>
            <w:color w:val="0D0D0D" w:themeColor="text1" w:themeTint="F2"/>
            <w:sz w:val="22"/>
            <w:szCs w:val="22"/>
            <w:lang w:val="en-GB"/>
          </w:rPr>
          <w:id w:val="-99495938"/>
          <w:placeholder>
            <w:docPart w:val="A3520C64918F4D208627CB2F426BF8ED"/>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written notice to the other Party.</w:t>
      </w:r>
      <w:bookmarkEnd w:id="10"/>
    </w:p>
    <w:p w14:paraId="467CB398"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3902AA88" w14:textId="1B9F9EE9"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1" w:name="_Ref296502946"/>
      <w:r w:rsidRPr="005F0F2B">
        <w:rPr>
          <w:rFonts w:ascii="IBM Plex Sans" w:hAnsi="IBM Plex Sans"/>
          <w:color w:val="0D0D0D" w:themeColor="text1" w:themeTint="F2"/>
          <w:sz w:val="22"/>
          <w:szCs w:val="22"/>
          <w:lang w:val="en-GB"/>
        </w:rPr>
        <w:t xml:space="preserve">Either Party may terminate the Agreement by written notice to the other Party, effective immediately, if the other Party fails to remedy any material breach of the Agreement within </w:t>
      </w:r>
      <w:sdt>
        <w:sdtPr>
          <w:rPr>
            <w:rFonts w:ascii="IBM Plex Sans" w:hAnsi="IBM Plex Sans"/>
            <w:color w:val="0D0D0D" w:themeColor="text1" w:themeTint="F2"/>
            <w:sz w:val="22"/>
            <w:szCs w:val="22"/>
            <w:lang w:val="en-GB"/>
          </w:rPr>
          <w:id w:val="-20255150"/>
          <w:placeholder>
            <w:docPart w:val="4A1A6190B57C4E09B812D80C3F31C0E1"/>
          </w:placeholder>
          <w:temporary/>
        </w:sdtPr>
        <w:sdtEndPr>
          <w:rPr>
            <w:highlight w:val="lightGray"/>
          </w:rPr>
        </w:sdtEndPr>
        <w:sdtContent>
          <w:r w:rsidR="0066735A" w:rsidRPr="005F0F2B">
            <w:rPr>
              <w:rFonts w:ascii="IBM Plex Sans" w:hAnsi="IBM Plex Sans"/>
              <w:color w:val="0D0D0D" w:themeColor="text1" w:themeTint="F2"/>
              <w:sz w:val="22"/>
              <w:szCs w:val="22"/>
              <w:highlight w:val="lightGray"/>
              <w:lang w:val="en-GB"/>
            </w:rPr>
            <w:t>[number]</w:t>
          </w:r>
        </w:sdtContent>
      </w:sdt>
      <w:r w:rsidRPr="005F0F2B">
        <w:rPr>
          <w:rFonts w:ascii="IBM Plex Sans" w:hAnsi="IBM Plex Sans"/>
          <w:color w:val="0D0D0D" w:themeColor="text1" w:themeTint="F2"/>
          <w:sz w:val="22"/>
          <w:szCs w:val="22"/>
          <w:lang w:val="en-GB"/>
        </w:rPr>
        <w:t xml:space="preserve"> days of receiving written notice of such breach.</w:t>
      </w:r>
      <w:bookmarkEnd w:id="11"/>
    </w:p>
    <w:p w14:paraId="3654F4DB"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2BB99296" w14:textId="1D1DB2E9" w:rsidR="005F0F2B" w:rsidRPr="005F0F2B" w:rsidRDefault="005F0F2B" w:rsidP="005F0F2B">
      <w:pPr>
        <w:pStyle w:val="Listeafsnit"/>
        <w:numPr>
          <w:ilvl w:val="0"/>
          <w:numId w:val="8"/>
        </w:numPr>
        <w:spacing w:line="276" w:lineRule="auto"/>
        <w:ind w:left="567" w:hanging="567"/>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Miscellaneous</w:t>
      </w:r>
    </w:p>
    <w:p w14:paraId="09394F33" w14:textId="77777777"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2" w:name="_Ref296495561"/>
      <w:r w:rsidRPr="005F0F2B">
        <w:rPr>
          <w:rFonts w:ascii="IBM Plex Sans" w:hAnsi="IBM Plex Sans"/>
          <w:color w:val="0D0D0D" w:themeColor="text1" w:themeTint="F2"/>
          <w:sz w:val="22"/>
          <w:szCs w:val="22"/>
          <w:lang w:val="en-GB"/>
        </w:rPr>
        <w:t>The Agreement contains the entire understanding of the Parties with respect to the subject matter hereof. The Agreement may not be amended except by written agreement signed by both Parties.</w:t>
      </w:r>
      <w:bookmarkEnd w:id="12"/>
    </w:p>
    <w:p w14:paraId="76A00EAC"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GB"/>
        </w:rPr>
      </w:pPr>
    </w:p>
    <w:p w14:paraId="755FD0B2" w14:textId="7BF41703"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3" w:name="_Ref296504402"/>
      <w:r w:rsidRPr="005F0F2B">
        <w:rPr>
          <w:rFonts w:ascii="IBM Plex Sans" w:hAnsi="IBM Plex Sans"/>
          <w:color w:val="0D0D0D" w:themeColor="text1" w:themeTint="F2"/>
          <w:sz w:val="22"/>
          <w:szCs w:val="22"/>
          <w:lang w:val="en-GB"/>
        </w:rPr>
        <w:t xml:space="preserve">Any disputes arising out of or in connection with the Agreement which cannot be settled amicably by the Parties shall be resolved by a court of competent jurisdiction in accordance with the laws of </w:t>
      </w:r>
      <w:sdt>
        <w:sdtPr>
          <w:rPr>
            <w:rFonts w:ascii="IBM Plex Sans" w:hAnsi="IBM Plex Sans"/>
            <w:color w:val="0D0D0D" w:themeColor="text1" w:themeTint="F2"/>
            <w:sz w:val="22"/>
            <w:szCs w:val="22"/>
            <w:lang w:val="en-GB"/>
          </w:rPr>
          <w:id w:val="-1136246668"/>
          <w:placeholder>
            <w:docPart w:val="DefaultPlaceholder_-1854013440"/>
          </w:placeholder>
          <w:temporary/>
        </w:sdtPr>
        <w:sdtEndPr>
          <w:rPr>
            <w:highlight w:val="darkGray"/>
          </w:rPr>
        </w:sdtEndPr>
        <w:sdtContent>
          <w:r w:rsidRPr="005F0F2B">
            <w:rPr>
              <w:rFonts w:ascii="IBM Plex Sans" w:hAnsi="IBM Plex Sans"/>
              <w:color w:val="0D0D0D" w:themeColor="text1" w:themeTint="F2"/>
              <w:sz w:val="22"/>
              <w:szCs w:val="22"/>
              <w:highlight w:val="darkGray"/>
              <w:lang w:val="en-GB"/>
            </w:rPr>
            <w:t>[country]</w:t>
          </w:r>
        </w:sdtContent>
      </w:sdt>
      <w:r w:rsidRPr="005F0F2B">
        <w:rPr>
          <w:rFonts w:ascii="IBM Plex Sans" w:hAnsi="IBM Plex Sans"/>
          <w:color w:val="0D0D0D" w:themeColor="text1" w:themeTint="F2"/>
          <w:sz w:val="22"/>
          <w:szCs w:val="22"/>
          <w:lang w:val="en-GB"/>
        </w:rPr>
        <w:t xml:space="preserve"> excluding conflict of law principles.</w:t>
      </w:r>
      <w:bookmarkEnd w:id="13"/>
    </w:p>
    <w:p w14:paraId="77D63260" w14:textId="77777777" w:rsidR="005F0F2B" w:rsidRPr="005F0F2B" w:rsidRDefault="005F0F2B" w:rsidP="005F0F2B">
      <w:pPr>
        <w:pStyle w:val="Listeafsnit"/>
        <w:spacing w:line="276" w:lineRule="auto"/>
        <w:rPr>
          <w:rFonts w:ascii="IBM Plex Sans" w:hAnsi="IBM Plex Sans"/>
          <w:color w:val="0D0D0D" w:themeColor="text1" w:themeTint="F2"/>
          <w:sz w:val="22"/>
          <w:szCs w:val="22"/>
          <w:lang w:val="en-GB"/>
        </w:rPr>
      </w:pPr>
    </w:p>
    <w:p w14:paraId="6F577480" w14:textId="7FA0E61E" w:rsidR="005F0F2B" w:rsidRPr="005F0F2B" w:rsidRDefault="005F0F2B" w:rsidP="005F0F2B">
      <w:pPr>
        <w:pStyle w:val="Listeafsnit"/>
        <w:numPr>
          <w:ilvl w:val="1"/>
          <w:numId w:val="8"/>
        </w:numPr>
        <w:spacing w:line="276" w:lineRule="auto"/>
        <w:ind w:left="567" w:hanging="567"/>
        <w:rPr>
          <w:rFonts w:ascii="IBM Plex Sans" w:hAnsi="IBM Plex Sans"/>
          <w:color w:val="0D0D0D" w:themeColor="text1" w:themeTint="F2"/>
          <w:sz w:val="22"/>
          <w:szCs w:val="22"/>
          <w:lang w:val="en-GB"/>
        </w:rPr>
      </w:pPr>
      <w:bookmarkStart w:id="14" w:name="_Ref296504390"/>
      <w:r w:rsidRPr="005F0F2B">
        <w:rPr>
          <w:rFonts w:ascii="IBM Plex Sans" w:hAnsi="IBM Plex Sans"/>
          <w:color w:val="0D0D0D" w:themeColor="text1" w:themeTint="F2"/>
          <w:sz w:val="22"/>
          <w:szCs w:val="22"/>
          <w:lang w:val="en-GB"/>
        </w:rPr>
        <w:t xml:space="preserve">The provisions of Clauses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_Ref297106732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7</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_Ref297118063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8</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_Ref297122088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9</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_Ref297119639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10</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_Ref297119654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11.2</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_Ref296504402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13.2</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and </w:t>
      </w:r>
      <w:r w:rsidRPr="005F0F2B">
        <w:rPr>
          <w:rFonts w:ascii="IBM Plex Sans" w:hAnsi="IBM Plex Sans"/>
          <w:color w:val="0D0D0D" w:themeColor="text1" w:themeTint="F2"/>
          <w:sz w:val="22"/>
          <w:szCs w:val="22"/>
          <w:lang w:val="en-GB"/>
        </w:rPr>
        <w:fldChar w:fldCharType="begin"/>
      </w:r>
      <w:r w:rsidRPr="005F0F2B">
        <w:rPr>
          <w:rFonts w:ascii="IBM Plex Sans" w:hAnsi="IBM Plex Sans"/>
          <w:color w:val="0D0D0D" w:themeColor="text1" w:themeTint="F2"/>
          <w:sz w:val="22"/>
          <w:szCs w:val="22"/>
          <w:lang w:val="en-GB"/>
        </w:rPr>
        <w:instrText xml:space="preserve"> REF _Ref296504390 \r \h  \* MERGEFORMAT </w:instrText>
      </w:r>
      <w:r w:rsidRPr="005F0F2B">
        <w:rPr>
          <w:rFonts w:ascii="IBM Plex Sans" w:hAnsi="IBM Plex Sans"/>
          <w:color w:val="0D0D0D" w:themeColor="text1" w:themeTint="F2"/>
          <w:sz w:val="22"/>
          <w:szCs w:val="22"/>
          <w:lang w:val="en-GB"/>
        </w:rPr>
      </w:r>
      <w:r w:rsidRPr="005F0F2B">
        <w:rPr>
          <w:rFonts w:ascii="IBM Plex Sans" w:hAnsi="IBM Plex Sans"/>
          <w:color w:val="0D0D0D" w:themeColor="text1" w:themeTint="F2"/>
          <w:sz w:val="22"/>
          <w:szCs w:val="22"/>
          <w:lang w:val="en-GB"/>
        </w:rPr>
        <w:fldChar w:fldCharType="separate"/>
      </w:r>
      <w:r w:rsidRPr="005F0F2B">
        <w:rPr>
          <w:rFonts w:ascii="IBM Plex Sans" w:hAnsi="IBM Plex Sans"/>
          <w:color w:val="0D0D0D" w:themeColor="text1" w:themeTint="F2"/>
          <w:sz w:val="22"/>
          <w:szCs w:val="22"/>
          <w:lang w:val="en-GB"/>
        </w:rPr>
        <w:t>13.3</w:t>
      </w:r>
      <w:r w:rsidRPr="005F0F2B">
        <w:rPr>
          <w:rFonts w:ascii="IBM Plex Sans" w:hAnsi="IBM Plex Sans"/>
          <w:color w:val="0D0D0D" w:themeColor="text1" w:themeTint="F2"/>
          <w:sz w:val="22"/>
          <w:szCs w:val="22"/>
          <w:lang w:val="en-GB"/>
        </w:rPr>
        <w:fldChar w:fldCharType="end"/>
      </w:r>
      <w:r w:rsidRPr="005F0F2B">
        <w:rPr>
          <w:rFonts w:ascii="IBM Plex Sans" w:hAnsi="IBM Plex Sans"/>
          <w:color w:val="0D0D0D" w:themeColor="text1" w:themeTint="F2"/>
          <w:sz w:val="22"/>
          <w:szCs w:val="22"/>
          <w:lang w:val="en-GB"/>
        </w:rPr>
        <w:t xml:space="preserve"> hereof shall survive termination of the Agreement for any reason.</w:t>
      </w:r>
      <w:bookmarkEnd w:id="14"/>
    </w:p>
    <w:p w14:paraId="091D346F" w14:textId="77777777" w:rsidR="005F0F2B" w:rsidRPr="005F0F2B" w:rsidRDefault="005F0F2B" w:rsidP="005F0F2B">
      <w:pPr>
        <w:spacing w:line="276" w:lineRule="auto"/>
        <w:rPr>
          <w:rFonts w:ascii="IBM Plex Sans" w:hAnsi="IBM Plex Sans"/>
          <w:b/>
          <w:color w:val="0D0D0D" w:themeColor="text1" w:themeTint="F2"/>
          <w:sz w:val="22"/>
          <w:szCs w:val="22"/>
          <w:lang w:val="en-GB"/>
        </w:rPr>
      </w:pPr>
    </w:p>
    <w:p w14:paraId="40714963" w14:textId="77777777" w:rsidR="005F0F2B" w:rsidRPr="005F0F2B" w:rsidRDefault="005F0F2B" w:rsidP="005F0F2B">
      <w:pPr>
        <w:spacing w:line="276" w:lineRule="auto"/>
        <w:rPr>
          <w:rFonts w:ascii="IBM Plex Sans" w:hAnsi="IBM Plex Sans"/>
          <w:b/>
          <w:color w:val="0D0D0D" w:themeColor="text1" w:themeTint="F2"/>
          <w:sz w:val="22"/>
          <w:szCs w:val="22"/>
          <w:lang w:val="en-GB"/>
        </w:rPr>
      </w:pPr>
    </w:p>
    <w:p w14:paraId="5519243E" w14:textId="77777777" w:rsidR="005F0F2B" w:rsidRPr="005F0F2B" w:rsidRDefault="005F0F2B" w:rsidP="005F0F2B">
      <w:pPr>
        <w:pStyle w:val="Listeafsnit"/>
        <w:spacing w:line="276" w:lineRule="auto"/>
        <w:ind w:left="0"/>
        <w:rPr>
          <w:rFonts w:ascii="IBM Plex Sans" w:hAnsi="IBM Plex Sans"/>
          <w:b/>
          <w:bCs/>
          <w:color w:val="0D0D0D" w:themeColor="text1" w:themeTint="F2"/>
          <w:sz w:val="22"/>
          <w:szCs w:val="22"/>
          <w:lang w:val="en-GB"/>
        </w:rPr>
      </w:pPr>
      <w:r w:rsidRPr="005F0F2B">
        <w:rPr>
          <w:rFonts w:ascii="IBM Plex Sans" w:hAnsi="IBM Plex Sans"/>
          <w:b/>
          <w:bCs/>
          <w:color w:val="0D0D0D" w:themeColor="text1" w:themeTint="F2"/>
          <w:sz w:val="22"/>
          <w:szCs w:val="22"/>
          <w:lang w:val="en-GB"/>
        </w:rPr>
        <w:t>For and on behalf of</w:t>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t>For and on behalf of</w:t>
      </w:r>
    </w:p>
    <w:p w14:paraId="40905117" w14:textId="77777777" w:rsidR="005F0F2B" w:rsidRPr="005F0F2B" w:rsidRDefault="005F0F2B" w:rsidP="005F0F2B">
      <w:pPr>
        <w:pStyle w:val="Listeafsnit"/>
        <w:spacing w:line="276" w:lineRule="auto"/>
        <w:ind w:left="0"/>
        <w:rPr>
          <w:rFonts w:ascii="IBM Plex Sans" w:hAnsi="IBM Plex Sans"/>
          <w:b/>
          <w:bCs/>
          <w:color w:val="0D0D0D" w:themeColor="text1" w:themeTint="F2"/>
          <w:sz w:val="22"/>
          <w:szCs w:val="22"/>
          <w:lang w:val="en-GB"/>
        </w:rPr>
      </w:pPr>
      <w:r w:rsidRPr="005F0F2B">
        <w:rPr>
          <w:rFonts w:ascii="IBM Plex Sans" w:hAnsi="IBM Plex Sans"/>
          <w:b/>
          <w:bCs/>
          <w:color w:val="0D0D0D" w:themeColor="text1" w:themeTint="F2"/>
          <w:sz w:val="22"/>
          <w:szCs w:val="22"/>
          <w:lang w:val="en-GB"/>
        </w:rPr>
        <w:t>Seller</w:t>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r>
      <w:r w:rsidRPr="005F0F2B">
        <w:rPr>
          <w:rFonts w:ascii="IBM Plex Sans" w:hAnsi="IBM Plex Sans"/>
          <w:b/>
          <w:bCs/>
          <w:color w:val="0D0D0D" w:themeColor="text1" w:themeTint="F2"/>
          <w:sz w:val="22"/>
          <w:szCs w:val="22"/>
          <w:lang w:val="en-GB"/>
        </w:rPr>
        <w:tab/>
        <w:t>Buyer</w:t>
      </w:r>
    </w:p>
    <w:p w14:paraId="7B83AEC7"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lang w:val="en-GB"/>
        </w:rPr>
      </w:pPr>
    </w:p>
    <w:p w14:paraId="05D4F6D1"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lang w:val="en-GB"/>
        </w:rPr>
      </w:pPr>
    </w:p>
    <w:p w14:paraId="560D6067"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Name:</w:t>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t>Name</w:t>
      </w:r>
    </w:p>
    <w:p w14:paraId="5A383D43"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Title:</w:t>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t>Title:</w:t>
      </w:r>
    </w:p>
    <w:p w14:paraId="3A93181E"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t>Date:</w:t>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r>
      <w:r w:rsidRPr="005F0F2B">
        <w:rPr>
          <w:rFonts w:ascii="IBM Plex Sans" w:hAnsi="IBM Plex Sans"/>
          <w:color w:val="0D0D0D" w:themeColor="text1" w:themeTint="F2"/>
          <w:sz w:val="22"/>
          <w:szCs w:val="22"/>
          <w:lang w:val="en-GB"/>
        </w:rPr>
        <w:tab/>
        <w:t>Date:</w:t>
      </w:r>
    </w:p>
    <w:p w14:paraId="38111C81" w14:textId="77777777" w:rsidR="005F0F2B" w:rsidRPr="005F0F2B" w:rsidRDefault="005F0F2B" w:rsidP="005F0F2B">
      <w:pPr>
        <w:spacing w:line="276" w:lineRule="auto"/>
        <w:rPr>
          <w:rFonts w:ascii="IBM Plex Sans" w:hAnsi="IBM Plex Sans"/>
          <w:color w:val="0D0D0D" w:themeColor="text1" w:themeTint="F2"/>
          <w:sz w:val="22"/>
          <w:szCs w:val="22"/>
          <w:lang w:val="en-GB"/>
        </w:rPr>
      </w:pPr>
      <w:r w:rsidRPr="005F0F2B">
        <w:rPr>
          <w:rFonts w:ascii="IBM Plex Sans" w:hAnsi="IBM Plex Sans"/>
          <w:color w:val="0D0D0D" w:themeColor="text1" w:themeTint="F2"/>
          <w:sz w:val="22"/>
          <w:szCs w:val="22"/>
          <w:lang w:val="en-GB"/>
        </w:rPr>
        <w:br w:type="page"/>
      </w:r>
    </w:p>
    <w:p w14:paraId="037F4008" w14:textId="77777777" w:rsidR="005F0F2B" w:rsidRPr="005F0F2B" w:rsidRDefault="005F0F2B" w:rsidP="005F0F2B">
      <w:pPr>
        <w:spacing w:line="276" w:lineRule="auto"/>
        <w:jc w:val="center"/>
        <w:rPr>
          <w:rFonts w:ascii="IBM Plex Sans" w:hAnsi="IBM Plex Sans"/>
          <w:b/>
          <w:color w:val="0D0D0D" w:themeColor="text1" w:themeTint="F2"/>
          <w:sz w:val="22"/>
          <w:szCs w:val="22"/>
          <w:lang w:val="en-US"/>
        </w:rPr>
      </w:pPr>
      <w:proofErr w:type="spellStart"/>
      <w:r w:rsidRPr="005F0F2B">
        <w:rPr>
          <w:rFonts w:ascii="IBM Plex Sans" w:hAnsi="IBM Plex Sans"/>
          <w:b/>
          <w:color w:val="0D0D0D" w:themeColor="text1" w:themeTint="F2"/>
          <w:sz w:val="22"/>
          <w:szCs w:val="22"/>
          <w:lang w:val="en-US"/>
        </w:rPr>
        <w:lastRenderedPageBreak/>
        <w:t>Vejledning</w:t>
      </w:r>
      <w:proofErr w:type="spellEnd"/>
      <w:r w:rsidRPr="005F0F2B">
        <w:rPr>
          <w:rFonts w:ascii="IBM Plex Sans" w:hAnsi="IBM Plex Sans"/>
          <w:b/>
          <w:color w:val="0D0D0D" w:themeColor="text1" w:themeTint="F2"/>
          <w:sz w:val="22"/>
          <w:szCs w:val="22"/>
          <w:lang w:val="en-US"/>
        </w:rPr>
        <w:t xml:space="preserve"> </w:t>
      </w:r>
      <w:proofErr w:type="spellStart"/>
      <w:r w:rsidRPr="005F0F2B">
        <w:rPr>
          <w:rFonts w:ascii="IBM Plex Sans" w:hAnsi="IBM Plex Sans"/>
          <w:b/>
          <w:color w:val="0D0D0D" w:themeColor="text1" w:themeTint="F2"/>
          <w:sz w:val="22"/>
          <w:szCs w:val="22"/>
          <w:lang w:val="en-US"/>
        </w:rPr>
        <w:t>til</w:t>
      </w:r>
      <w:proofErr w:type="spellEnd"/>
      <w:r w:rsidRPr="005F0F2B">
        <w:rPr>
          <w:rFonts w:ascii="IBM Plex Sans" w:hAnsi="IBM Plex Sans"/>
          <w:b/>
          <w:color w:val="0D0D0D" w:themeColor="text1" w:themeTint="F2"/>
          <w:sz w:val="22"/>
          <w:szCs w:val="22"/>
          <w:lang w:val="en-US"/>
        </w:rPr>
        <w:t xml:space="preserve"> Product Supply Agreement</w:t>
      </w:r>
    </w:p>
    <w:p w14:paraId="43C82B1A" w14:textId="77777777" w:rsidR="005F0F2B" w:rsidRPr="005F0F2B" w:rsidRDefault="005F0F2B" w:rsidP="005F0F2B">
      <w:pPr>
        <w:spacing w:line="276" w:lineRule="auto"/>
        <w:rPr>
          <w:rFonts w:ascii="IBM Plex Sans" w:hAnsi="IBM Plex Sans"/>
          <w:b/>
          <w:color w:val="0D0D0D" w:themeColor="text1" w:themeTint="F2"/>
          <w:w w:val="125"/>
          <w:sz w:val="22"/>
          <w:szCs w:val="22"/>
          <w:lang w:val="en-US"/>
        </w:rPr>
      </w:pPr>
    </w:p>
    <w:p w14:paraId="11A0484B"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Parter</w:t>
      </w:r>
    </w:p>
    <w:p w14:paraId="4D0212F4" w14:textId="77777777" w:rsidR="005F0F2B" w:rsidRPr="005F0F2B" w:rsidRDefault="005F0F2B" w:rsidP="005F0F2B">
      <w:pPr>
        <w:spacing w:line="276" w:lineRule="auto"/>
        <w:rPr>
          <w:rFonts w:ascii="IBM Plex Sans" w:hAnsi="IBM Plex Sans"/>
          <w:color w:val="0D0D0D" w:themeColor="text1" w:themeTint="F2"/>
          <w:sz w:val="22"/>
          <w:szCs w:val="22"/>
        </w:rPr>
      </w:pPr>
    </w:p>
    <w:p w14:paraId="639E03D7" w14:textId="77777777" w:rsidR="005F0F2B" w:rsidRPr="005F0F2B" w:rsidRDefault="005F0F2B" w:rsidP="005F0F2B">
      <w:pPr>
        <w:spacing w:line="276" w:lineRule="auto"/>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rPr>
        <w:t>Købers og Sælgers navn, evt. virksomhedsnummer og adresse skal skrives korrekt. Fx har virksomheder inden for samme koncern ofte navne, der ligner hinanden, men det er ikke nødvendigvis ligegyldigt, om du indgår Aftalen med det ene eller det andet selskab.</w:t>
      </w:r>
    </w:p>
    <w:p w14:paraId="400629D8"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47801C09"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Definitioner</w:t>
      </w:r>
    </w:p>
    <w:p w14:paraId="18C05393"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2552DAC3"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Produktet</w:t>
      </w:r>
      <w:r w:rsidRPr="005F0F2B">
        <w:rPr>
          <w:rFonts w:ascii="IBM Plex Sans" w:hAnsi="IBM Plex Sans"/>
          <w:color w:val="0D0D0D" w:themeColor="text1" w:themeTint="F2"/>
          <w:sz w:val="22"/>
          <w:szCs w:val="22"/>
        </w:rPr>
        <w:t>: Det er vigtigt, at det fremgår nøjagtigt af Aftalens Bilag A, hvad det er for et produkt, Sælger skal levere til Køber. Ellers kan der nemt opstå uenighed om, om Sælgers produkt opfylder Købers krav. Bilag A kan fx beskrive: i) Produktets funktion, form, størrelse, materiale og farve, ii) Danske eller udenlandske love eller standarder, som Produktet skal opfylde, iii) Krav til mærkning og pakning af Produktet, og iv) Krav til Sælgers kvalitetssystem.</w:t>
      </w:r>
    </w:p>
    <w:p w14:paraId="769F32B1"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p>
    <w:p w14:paraId="5468B7EC"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Aftalens omfang</w:t>
      </w:r>
    </w:p>
    <w:p w14:paraId="5064A9E2"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lang w:val="en-US"/>
        </w:rPr>
      </w:pPr>
    </w:p>
    <w:p w14:paraId="40D61214"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2.2</w:t>
      </w:r>
      <w:r w:rsidRPr="005F0F2B">
        <w:rPr>
          <w:rFonts w:ascii="IBM Plex Sans" w:hAnsi="IBM Plex Sans"/>
          <w:color w:val="0D0D0D" w:themeColor="text1" w:themeTint="F2"/>
          <w:sz w:val="22"/>
          <w:szCs w:val="22"/>
        </w:rPr>
        <w:t>: Dette punkt betyder, at hvis Sælger fx har trykt nogle almindelige salgs- og leveringsbetingelser på sin faktura, eller Køber fx har trykt nogle almindelige indkøbsbetingelser på sin indkøbsordre, så er de ikke bindende for Parterne, medmindre de aftaler det skriftligt. Det er altså alene Aftalens vilkår, der er gældende i forholdet mellem Sælger og Køber. På trods af punkt 2.2 vil det være en god idé, at du skriftligt afviser eventuelle salgs- eller indkøbsbetingelser, som du måtte modtage, for at undgå tvivl om, hvad der er aftalt.</w:t>
      </w:r>
    </w:p>
    <w:p w14:paraId="6F804DF9"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283C38F4"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Produktændringer</w:t>
      </w:r>
    </w:p>
    <w:p w14:paraId="2961A6E8"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224CE9F3"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3.1</w:t>
      </w:r>
      <w:r w:rsidRPr="005F0F2B">
        <w:rPr>
          <w:rFonts w:ascii="IBM Plex Sans" w:hAnsi="IBM Plex Sans"/>
          <w:color w:val="0D0D0D" w:themeColor="text1" w:themeTint="F2"/>
          <w:sz w:val="22"/>
          <w:szCs w:val="22"/>
        </w:rPr>
        <w:t>: Hvis Sælger beslutter at ændre eller indstille produktionen af Produktet, er det ofte vigtigt, at Køber får besked om det. Beslutningen kan betyde, at Køber ikke længere er interesseret i Produktet, eller at Køber gerne vil have mulighed for at kunne afgive indkøbsordrer på en sidste større mængde af Produktet, fx for at kunne opfylde sine leveringsforpligtelser over for sine kunder. Køber har ikke noget automatisk lovkrav på at kunne annullere eller afgive indkøbsordrer, medmindre det fremgår af Aftalen.</w:t>
      </w:r>
    </w:p>
    <w:p w14:paraId="7BB7D6AE"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56B3D562"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Indkøbsordrer og -prognoser</w:t>
      </w:r>
    </w:p>
    <w:p w14:paraId="4C0DFA53"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p>
    <w:p w14:paraId="4F49274E"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4.1</w:t>
      </w:r>
      <w:r w:rsidRPr="005F0F2B">
        <w:rPr>
          <w:rFonts w:ascii="IBM Plex Sans" w:hAnsi="IBM Plex Sans"/>
          <w:color w:val="0D0D0D" w:themeColor="text1" w:themeTint="F2"/>
          <w:sz w:val="22"/>
          <w:szCs w:val="22"/>
        </w:rPr>
        <w:t xml:space="preserve">: Det er vigtigt, at det klart fremgår af Aftalen, hvornår der er indgået en bindende aftale mellem Parterne om køb og salg af et Produkt. Aftalen går ud fra, at der er indgået en bindende aftale, når Sælger har afgivet en skriftlig bekræftelse af Købers skriftlige indkøbsordre. Ifølge Aftalen er mundtlige aftaler om køb og salg af et Produkt altså ikke bindende for Parterne. </w:t>
      </w:r>
      <w:r w:rsidRPr="005F0F2B">
        <w:rPr>
          <w:rFonts w:ascii="IBM Plex Sans" w:hAnsi="IBM Plex Sans"/>
          <w:color w:val="0D0D0D" w:themeColor="text1" w:themeTint="F2"/>
          <w:sz w:val="22"/>
          <w:szCs w:val="22"/>
          <w:u w:val="single"/>
        </w:rPr>
        <w:t>Punkt 4.3</w:t>
      </w:r>
      <w:r w:rsidRPr="005F0F2B">
        <w:rPr>
          <w:rFonts w:ascii="IBM Plex Sans" w:hAnsi="IBM Plex Sans"/>
          <w:color w:val="0D0D0D" w:themeColor="text1" w:themeTint="F2"/>
          <w:sz w:val="22"/>
          <w:szCs w:val="22"/>
        </w:rPr>
        <w:t xml:space="preserve">: Det kan være vigtigt for Sælger, at Køber afgiver en </w:t>
      </w:r>
      <w:r w:rsidRPr="005F0F2B">
        <w:rPr>
          <w:rFonts w:ascii="IBM Plex Sans" w:hAnsi="IBM Plex Sans"/>
          <w:color w:val="0D0D0D" w:themeColor="text1" w:themeTint="F2"/>
          <w:sz w:val="22"/>
          <w:szCs w:val="22"/>
        </w:rPr>
        <w:lastRenderedPageBreak/>
        <w:t>prognose over sit forventede køb af Produktet med jævne mellemrum. Hvis du er Køber, bør du ikke forpligte dig til at afgive en bindende indkøbsprognose, da du så vil være forpligtet til at opfylde indkøbsprognosen.</w:t>
      </w:r>
    </w:p>
    <w:p w14:paraId="4475BD6B" w14:textId="65F18EE5" w:rsidR="005F0F2B" w:rsidRPr="005F0F2B" w:rsidRDefault="005F0F2B" w:rsidP="005F0F2B">
      <w:pPr>
        <w:spacing w:line="276" w:lineRule="auto"/>
        <w:rPr>
          <w:rFonts w:ascii="IBM Plex Sans" w:hAnsi="IBM Plex Sans"/>
          <w:color w:val="0D0D0D" w:themeColor="text1" w:themeTint="F2"/>
          <w:sz w:val="22"/>
          <w:szCs w:val="22"/>
        </w:rPr>
      </w:pPr>
    </w:p>
    <w:p w14:paraId="73F082CA"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Levering</w:t>
      </w:r>
    </w:p>
    <w:p w14:paraId="6CD6862D"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7CE663DB"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r w:rsidRPr="005F0F2B">
        <w:rPr>
          <w:rFonts w:ascii="IBM Plex Sans" w:hAnsi="IBM Plex Sans"/>
          <w:color w:val="0D0D0D" w:themeColor="text1" w:themeTint="F2"/>
          <w:sz w:val="22"/>
          <w:szCs w:val="22"/>
          <w:u w:val="single"/>
        </w:rPr>
        <w:t>Punkt 5.1</w:t>
      </w:r>
      <w:r w:rsidRPr="005F0F2B">
        <w:rPr>
          <w:rFonts w:ascii="IBM Plex Sans" w:hAnsi="IBM Plex Sans"/>
          <w:color w:val="0D0D0D" w:themeColor="text1" w:themeTint="F2"/>
          <w:sz w:val="22"/>
          <w:szCs w:val="22"/>
        </w:rPr>
        <w:t xml:space="preserve">: Hvis du er Køber, er du interesseret i, at du altid kan regne med at modtage levering af et Produkt inden for en vis tid efter, at du har bestilt Produktet. Du bør derfor sørge for, at Aftalen indeholder bestemmelser om gennemløbstid. </w:t>
      </w:r>
      <w:r w:rsidRPr="005F0F2B">
        <w:rPr>
          <w:rFonts w:ascii="IBM Plex Sans" w:hAnsi="IBM Plex Sans"/>
          <w:color w:val="0D0D0D" w:themeColor="text1" w:themeTint="F2"/>
          <w:sz w:val="22"/>
          <w:szCs w:val="22"/>
          <w:u w:val="single"/>
        </w:rPr>
        <w:t>Punkt 5.2</w:t>
      </w:r>
      <w:r w:rsidRPr="005F0F2B">
        <w:rPr>
          <w:rFonts w:ascii="IBM Plex Sans" w:hAnsi="IBM Plex Sans"/>
          <w:color w:val="0D0D0D" w:themeColor="text1" w:themeTint="F2"/>
          <w:sz w:val="22"/>
          <w:szCs w:val="22"/>
        </w:rPr>
        <w:t xml:space="preserve">: Det er vigtigt, at Parterne aftaler, hvilken leveringsbetingelse der gælder. Leveringsbetingelsen er fx afgørende for, hvem der skal arrangere og betale for transport, forsikring, importafgifter m.v., og hvem der har ansvaret for tab af eller skade på et Produkt under transport. Du kan læse om leveringsbetingelserne </w:t>
      </w:r>
      <w:proofErr w:type="spellStart"/>
      <w:r w:rsidRPr="005F0F2B">
        <w:rPr>
          <w:rFonts w:ascii="IBM Plex Sans" w:hAnsi="IBM Plex Sans"/>
          <w:color w:val="0D0D0D" w:themeColor="text1" w:themeTint="F2"/>
          <w:sz w:val="22"/>
          <w:szCs w:val="22"/>
        </w:rPr>
        <w:t>Incoterms</w:t>
      </w:r>
      <w:proofErr w:type="spellEnd"/>
      <w:r w:rsidRPr="005F0F2B">
        <w:rPr>
          <w:rFonts w:ascii="IBM Plex Sans" w:hAnsi="IBM Plex Sans"/>
          <w:color w:val="0D0D0D" w:themeColor="text1" w:themeTint="F2"/>
          <w:sz w:val="22"/>
          <w:szCs w:val="22"/>
        </w:rPr>
        <w:t xml:space="preserve"> hos </w:t>
      </w:r>
      <w:hyperlink r:id="rId19" w:history="1">
        <w:r w:rsidRPr="005F0F2B">
          <w:rPr>
            <w:rStyle w:val="Hyperlink"/>
            <w:rFonts w:ascii="IBM Plex Sans" w:hAnsi="IBM Plex Sans"/>
            <w:color w:val="0D0D0D" w:themeColor="text1" w:themeTint="F2"/>
            <w:sz w:val="22"/>
            <w:szCs w:val="22"/>
          </w:rPr>
          <w:t xml:space="preserve">International </w:t>
        </w:r>
        <w:proofErr w:type="spellStart"/>
        <w:r w:rsidRPr="005F0F2B">
          <w:rPr>
            <w:rStyle w:val="Hyperlink"/>
            <w:rFonts w:ascii="IBM Plex Sans" w:hAnsi="IBM Plex Sans"/>
            <w:color w:val="0D0D0D" w:themeColor="text1" w:themeTint="F2"/>
            <w:sz w:val="22"/>
            <w:szCs w:val="22"/>
          </w:rPr>
          <w:t>Chamber</w:t>
        </w:r>
        <w:proofErr w:type="spellEnd"/>
        <w:r w:rsidRPr="005F0F2B">
          <w:rPr>
            <w:rStyle w:val="Hyperlink"/>
            <w:rFonts w:ascii="IBM Plex Sans" w:hAnsi="IBM Plex Sans"/>
            <w:color w:val="0D0D0D" w:themeColor="text1" w:themeTint="F2"/>
            <w:sz w:val="22"/>
            <w:szCs w:val="22"/>
          </w:rPr>
          <w:t xml:space="preserve"> of Commerce</w:t>
        </w:r>
      </w:hyperlink>
      <w:r w:rsidRPr="005F0F2B">
        <w:rPr>
          <w:rFonts w:ascii="IBM Plex Sans" w:hAnsi="IBM Plex Sans"/>
          <w:color w:val="0D0D0D" w:themeColor="text1" w:themeTint="F2"/>
          <w:sz w:val="22"/>
          <w:szCs w:val="22"/>
        </w:rPr>
        <w:t>.</w:t>
      </w:r>
    </w:p>
    <w:p w14:paraId="2D91BDF9" w14:textId="77777777" w:rsidR="005F0F2B" w:rsidRPr="005F0F2B" w:rsidRDefault="005F0F2B" w:rsidP="005F0F2B">
      <w:pPr>
        <w:pStyle w:val="Listeafsnit"/>
        <w:spacing w:line="276" w:lineRule="auto"/>
        <w:rPr>
          <w:rFonts w:ascii="IBM Plex Sans" w:hAnsi="IBM Plex Sans"/>
          <w:color w:val="0D0D0D" w:themeColor="text1" w:themeTint="F2"/>
          <w:sz w:val="22"/>
          <w:szCs w:val="22"/>
        </w:rPr>
      </w:pPr>
    </w:p>
    <w:p w14:paraId="4B31C536"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Pris og betaling</w:t>
      </w:r>
    </w:p>
    <w:p w14:paraId="4F677498"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4EF0CC1A"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6.1</w:t>
      </w:r>
      <w:r w:rsidRPr="005F0F2B">
        <w:rPr>
          <w:rFonts w:ascii="IBM Plex Sans" w:hAnsi="IBM Plex Sans"/>
          <w:color w:val="0D0D0D" w:themeColor="text1" w:themeTint="F2"/>
          <w:sz w:val="22"/>
          <w:szCs w:val="22"/>
        </w:rPr>
        <w:t xml:space="preserve">: Det er vigtigt, at det tydeligt fremgår af Aftalen, hvad prisen på Produktet er. Hvis der er forskellige versioner af et Produkt, eller hvis et Produkt består af flere dele, er der måske også flere forskellige priser. </w:t>
      </w:r>
      <w:r w:rsidRPr="005F0F2B">
        <w:rPr>
          <w:rFonts w:ascii="IBM Plex Sans" w:hAnsi="IBM Plex Sans"/>
          <w:color w:val="0D0D0D" w:themeColor="text1" w:themeTint="F2"/>
          <w:sz w:val="22"/>
          <w:szCs w:val="22"/>
          <w:u w:val="single"/>
        </w:rPr>
        <w:t>Punkt 6.2</w:t>
      </w:r>
      <w:r w:rsidRPr="005F0F2B">
        <w:rPr>
          <w:rFonts w:ascii="IBM Plex Sans" w:hAnsi="IBM Plex Sans"/>
          <w:color w:val="0D0D0D" w:themeColor="text1" w:themeTint="F2"/>
          <w:sz w:val="22"/>
          <w:szCs w:val="22"/>
        </w:rPr>
        <w:t xml:space="preserve">: Det er også vigtigt, at det tydeligt fremgår af Aftalen, hvornår Køber skal betale Sælgers fakturaer. </w:t>
      </w:r>
      <w:r w:rsidRPr="005F0F2B">
        <w:rPr>
          <w:rFonts w:ascii="IBM Plex Sans" w:hAnsi="IBM Plex Sans"/>
          <w:color w:val="0D0D0D" w:themeColor="text1" w:themeTint="F2"/>
          <w:sz w:val="22"/>
          <w:szCs w:val="22"/>
          <w:u w:val="single"/>
        </w:rPr>
        <w:t>Punkt 6.3</w:t>
      </w:r>
      <w:r w:rsidRPr="005F0F2B">
        <w:rPr>
          <w:rFonts w:ascii="IBM Plex Sans" w:hAnsi="IBM Plex Sans"/>
          <w:color w:val="0D0D0D" w:themeColor="text1" w:themeTint="F2"/>
          <w:sz w:val="22"/>
          <w:szCs w:val="22"/>
        </w:rPr>
        <w:t>: Som Køber skal du være opmærksom på, at hvis du ikke betaler Sælgers fakturaer til tiden, så har Sælger ret til at kræve de ubetalte beløb forrentet. Selv om der ikke måtte fremgå noget herom af Aftalen, vil Sælger have ret til forrentning efter, i Danmark, renteloven.</w:t>
      </w:r>
    </w:p>
    <w:p w14:paraId="06D2D5F8"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61673A5F"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Produktgaranti</w:t>
      </w:r>
    </w:p>
    <w:p w14:paraId="50373FF4"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729D4DA0"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7.1-7.6</w:t>
      </w:r>
      <w:r w:rsidRPr="005F0F2B">
        <w:rPr>
          <w:rFonts w:ascii="IBM Plex Sans" w:hAnsi="IBM Plex Sans"/>
          <w:color w:val="0D0D0D" w:themeColor="text1" w:themeTint="F2"/>
          <w:sz w:val="22"/>
          <w:szCs w:val="22"/>
        </w:rPr>
        <w:t>: Som Køber af et Produkt regner du med, at det kan holde i hvert fald en vis tid, før der skal repareres på det. Det er derfor en god idé at aftale med Sælger, at Sælger garanterer imod fejl ved Produktet en vis tid efter leveringen. Hvis Sælger har afgivet en produktgaranti, har du nemlig ret til at få udbedret fejl ved et Produkt uden beregning. Hvis Sælger ikke har afgivet nogen produktgaranti, vil du have reklamationsret efter, i Danmark, købeloven, men reklamationsretten er ikke så fordelagtig for dig som en produktgaranti. Som Sælger vil du omvendt være interesseret i at begrænse dit ansvar for fejl ved et Produkt mest muligt.</w:t>
      </w:r>
    </w:p>
    <w:p w14:paraId="17B7F919" w14:textId="77777777" w:rsidR="005F0F2B" w:rsidRPr="005F0F2B" w:rsidRDefault="005F0F2B" w:rsidP="005F0F2B">
      <w:pPr>
        <w:pStyle w:val="Listeafsnit"/>
        <w:spacing w:line="276" w:lineRule="auto"/>
        <w:ind w:left="567"/>
        <w:rPr>
          <w:rFonts w:ascii="IBM Plex Sans" w:hAnsi="IBM Plex Sans"/>
          <w:color w:val="0D0D0D" w:themeColor="text1" w:themeTint="F2"/>
          <w:sz w:val="22"/>
          <w:szCs w:val="22"/>
        </w:rPr>
      </w:pPr>
    </w:p>
    <w:p w14:paraId="07DC053C"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Produktansvar</w:t>
      </w:r>
    </w:p>
    <w:p w14:paraId="1EC17769"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7F0EBBDA"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r w:rsidRPr="005F0F2B">
        <w:rPr>
          <w:rFonts w:ascii="IBM Plex Sans" w:hAnsi="IBM Plex Sans"/>
          <w:color w:val="0D0D0D" w:themeColor="text1" w:themeTint="F2"/>
          <w:sz w:val="22"/>
          <w:szCs w:val="22"/>
          <w:u w:val="single"/>
        </w:rPr>
        <w:t>Punkt 8.1</w:t>
      </w:r>
      <w:r w:rsidRPr="005F0F2B">
        <w:rPr>
          <w:rFonts w:ascii="IBM Plex Sans" w:hAnsi="IBM Plex Sans"/>
          <w:color w:val="0D0D0D" w:themeColor="text1" w:themeTint="F2"/>
          <w:sz w:val="22"/>
          <w:szCs w:val="22"/>
        </w:rPr>
        <w:t xml:space="preserve">: Som Sælger af et Produkt er du som udgangspunkt ansvarlig for tab og skade, som Produktet måtte forårsage på mennesker eller ting. Det er det, man kalder produktansvar. Det kan variere fra land til land, hvilke muligheder du har for at fraskrive dig produktansvar i forholdet mellem dig og Køber. </w:t>
      </w:r>
      <w:r w:rsidRPr="005F0F2B">
        <w:rPr>
          <w:rFonts w:ascii="IBM Plex Sans" w:hAnsi="IBM Plex Sans"/>
          <w:color w:val="0D0D0D" w:themeColor="text1" w:themeTint="F2"/>
          <w:sz w:val="22"/>
          <w:szCs w:val="22"/>
          <w:u w:val="single"/>
        </w:rPr>
        <w:t>Punkt 8.2</w:t>
      </w:r>
      <w:r w:rsidRPr="005F0F2B">
        <w:rPr>
          <w:rFonts w:ascii="IBM Plex Sans" w:hAnsi="IBM Plex Sans"/>
          <w:color w:val="0D0D0D" w:themeColor="text1" w:themeTint="F2"/>
          <w:sz w:val="22"/>
          <w:szCs w:val="22"/>
        </w:rPr>
        <w:t xml:space="preserve">: Som Køber af et Produkt, er du interesseret i, at Sælger forpligter sig til at tegne en forsikring, der dækker Sælger produktansvar. Ellers ender </w:t>
      </w:r>
      <w:r w:rsidRPr="005F0F2B">
        <w:rPr>
          <w:rFonts w:ascii="IBM Plex Sans" w:hAnsi="IBM Plex Sans"/>
          <w:color w:val="0D0D0D" w:themeColor="text1" w:themeTint="F2"/>
          <w:sz w:val="22"/>
          <w:szCs w:val="22"/>
        </w:rPr>
        <w:lastRenderedPageBreak/>
        <w:t>du måske i sidste ende med at komme til at erstatte tab eller skade, som et Produkt har forårsaget på en tredjepart.</w:t>
      </w:r>
    </w:p>
    <w:p w14:paraId="734989B0"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67340990"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Patentkrænkelse</w:t>
      </w:r>
    </w:p>
    <w:p w14:paraId="525FD76B"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41D7F23F"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9.1-9.5</w:t>
      </w:r>
      <w:r w:rsidRPr="005F0F2B">
        <w:rPr>
          <w:rFonts w:ascii="IBM Plex Sans" w:hAnsi="IBM Plex Sans"/>
          <w:color w:val="0D0D0D" w:themeColor="text1" w:themeTint="F2"/>
          <w:sz w:val="22"/>
          <w:szCs w:val="22"/>
        </w:rPr>
        <w:t>: Det er vigtigt, at Aftalen tager stilling til, hvem der skal betale omkostningerne, hvis et Produkt viser sig at krænke en tredjeparts rettigheder, fx et patent, et design eller et varemærke. Det kan fx være erstatning til tredjeparten, honorar til professionelle rådgiver og interne omkostninger. Som Sælger er du interesseret i at begrænse dit ansvar mest muligt. Som Køber er du interesseret i, at du ikke står med i hvert fald hele regningen alene, og at du bliver ramt så lidt som muligt på din forretning. Hvis et Produkt krænker en tredjeparts rettigheder, vil tredjeparten nemlig efter omstændighederne kunne forbyde dig at sælge Produktet.</w:t>
      </w:r>
    </w:p>
    <w:p w14:paraId="696C1BF9" w14:textId="77777777" w:rsidR="005F0F2B" w:rsidRPr="005F0F2B" w:rsidRDefault="005F0F2B" w:rsidP="005F0F2B">
      <w:pPr>
        <w:spacing w:line="276" w:lineRule="auto"/>
        <w:rPr>
          <w:rFonts w:ascii="IBM Plex Sans" w:hAnsi="IBM Plex Sans"/>
          <w:b/>
          <w:color w:val="0D0D0D" w:themeColor="text1" w:themeTint="F2"/>
          <w:sz w:val="22"/>
          <w:szCs w:val="22"/>
        </w:rPr>
      </w:pPr>
    </w:p>
    <w:p w14:paraId="6F6ED580" w14:textId="7F750977" w:rsidR="005F0F2B" w:rsidRPr="005F0F2B" w:rsidRDefault="005F0F2B" w:rsidP="005F0F2B">
      <w:pPr>
        <w:pStyle w:val="Listeafsnit"/>
        <w:numPr>
          <w:ilvl w:val="0"/>
          <w:numId w:val="9"/>
        </w:numPr>
        <w:spacing w:line="276" w:lineRule="auto"/>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Fortrolighed</w:t>
      </w:r>
    </w:p>
    <w:p w14:paraId="0A017123"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745DF2E6"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10.1 og 10.2</w:t>
      </w:r>
      <w:r w:rsidRPr="005F0F2B">
        <w:rPr>
          <w:rFonts w:ascii="IBM Plex Sans" w:hAnsi="IBM Plex Sans"/>
          <w:color w:val="0D0D0D" w:themeColor="text1" w:themeTint="F2"/>
          <w:sz w:val="22"/>
          <w:szCs w:val="22"/>
        </w:rPr>
        <w:t>: Uanset at Aftalen indeholder bestemmelser, som skal begrænse risikoen for, at din aftalepartner videregiver dine fortrolige oplysninger til tredjepart eller misbruger dem, så er det vigtigt, at du ikke udleverer flere fortrolige oplysninger til aftalepartneren end nødvendigt. Når du først har udleveret en oplysning, er det nemlig uden for din kontrol, hvad der videre sker med den. Det er også vigtigt, at du mærker alle fortrolige oplysninger, som du udleverer til din aftalepartner i fysisk form, ”FORTROLIGT” e.l.</w:t>
      </w:r>
    </w:p>
    <w:p w14:paraId="533C61AE"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p>
    <w:p w14:paraId="4E7C416D" w14:textId="6A2FBE62" w:rsidR="005F0F2B" w:rsidRDefault="005F0F2B" w:rsidP="005F0F2B">
      <w:pPr>
        <w:pStyle w:val="Listeafsnit"/>
        <w:numPr>
          <w:ilvl w:val="0"/>
          <w:numId w:val="9"/>
        </w:numPr>
        <w:spacing w:line="276" w:lineRule="auto"/>
        <w:ind w:left="567" w:hanging="567"/>
        <w:rPr>
          <w:rFonts w:ascii="IBM Plex Sans" w:hAnsi="IBM Plex Sans" w:cs="Arial"/>
          <w:b/>
          <w:color w:val="0D0D0D" w:themeColor="text1" w:themeTint="F2"/>
          <w:sz w:val="22"/>
          <w:szCs w:val="22"/>
        </w:rPr>
      </w:pPr>
      <w:r w:rsidRPr="005F0F2B">
        <w:rPr>
          <w:rFonts w:ascii="IBM Plex Sans" w:hAnsi="IBM Plex Sans" w:cs="Arial"/>
          <w:b/>
          <w:color w:val="0D0D0D" w:themeColor="text1" w:themeTint="F2"/>
          <w:sz w:val="22"/>
          <w:szCs w:val="22"/>
        </w:rPr>
        <w:t>Behandling af personhenførbare oplysninger</w:t>
      </w:r>
    </w:p>
    <w:p w14:paraId="44A7A7F1" w14:textId="77777777" w:rsidR="005F0F2B" w:rsidRPr="005F0F2B" w:rsidRDefault="005F0F2B" w:rsidP="005F0F2B">
      <w:pPr>
        <w:pStyle w:val="Listeafsnit"/>
        <w:spacing w:line="276" w:lineRule="auto"/>
        <w:ind w:left="567"/>
        <w:rPr>
          <w:rFonts w:ascii="IBM Plex Sans" w:hAnsi="IBM Plex Sans" w:cs="Arial"/>
          <w:b/>
          <w:color w:val="0D0D0D" w:themeColor="text1" w:themeTint="F2"/>
          <w:sz w:val="22"/>
          <w:szCs w:val="22"/>
        </w:rPr>
      </w:pPr>
    </w:p>
    <w:p w14:paraId="0FE6DE0C" w14:textId="77777777" w:rsidR="005F0F2B" w:rsidRPr="005F0F2B" w:rsidRDefault="005F0F2B" w:rsidP="005F0F2B">
      <w:pPr>
        <w:spacing w:line="276" w:lineRule="auto"/>
        <w:rPr>
          <w:rFonts w:ascii="IBM Plex Sans" w:hAnsi="IBM Plex Sans" w:cs="Arial"/>
          <w:color w:val="0D0D0D" w:themeColor="text1" w:themeTint="F2"/>
          <w:sz w:val="22"/>
          <w:szCs w:val="22"/>
        </w:rPr>
      </w:pPr>
      <w:r w:rsidRPr="005F0F2B">
        <w:rPr>
          <w:rFonts w:ascii="IBM Plex Sans" w:hAnsi="IBM Plex Sans" w:cs="Arial"/>
          <w:color w:val="0D0D0D" w:themeColor="text1" w:themeTint="F2"/>
          <w:sz w:val="22"/>
          <w:szCs w:val="22"/>
          <w:u w:val="single"/>
        </w:rPr>
        <w:t>Punkt 11.1:</w:t>
      </w:r>
      <w:r w:rsidRPr="005F0F2B">
        <w:rPr>
          <w:rFonts w:ascii="IBM Plex Sans" w:hAnsi="IBM Plex Sans" w:cs="Arial"/>
          <w:color w:val="0D0D0D" w:themeColor="text1" w:themeTint="F2"/>
          <w:sz w:val="22"/>
          <w:szCs w:val="22"/>
        </w:rPr>
        <w:t xml:space="preserve"> Du bør forholde dig til, hvilke saglige formål oplysningerne indsamles til og kort uddybe dette for [den registrerede], således at [den registrerede] kan forudse, hvilke oplysninger der bliver behandlet samt hvad de kan blive brugt til. </w:t>
      </w:r>
    </w:p>
    <w:p w14:paraId="26E137F8" w14:textId="77777777" w:rsidR="005F0F2B" w:rsidRPr="005F0F2B" w:rsidRDefault="005F0F2B" w:rsidP="005F0F2B">
      <w:pPr>
        <w:spacing w:line="276" w:lineRule="auto"/>
        <w:rPr>
          <w:rFonts w:ascii="IBM Plex Sans" w:hAnsi="IBM Plex Sans" w:cs="Arial"/>
          <w:color w:val="0D0D0D" w:themeColor="text1" w:themeTint="F2"/>
          <w:sz w:val="22"/>
          <w:szCs w:val="22"/>
        </w:rPr>
      </w:pPr>
    </w:p>
    <w:p w14:paraId="292CF51E" w14:textId="77777777" w:rsidR="005F0F2B" w:rsidRPr="005F0F2B" w:rsidRDefault="005F0F2B" w:rsidP="005F0F2B">
      <w:pPr>
        <w:spacing w:line="276" w:lineRule="auto"/>
        <w:rPr>
          <w:rFonts w:ascii="IBM Plex Sans" w:hAnsi="IBM Plex Sans" w:cs="Arial"/>
          <w:color w:val="0D0D0D" w:themeColor="text1" w:themeTint="F2"/>
          <w:sz w:val="22"/>
          <w:szCs w:val="22"/>
        </w:rPr>
      </w:pPr>
      <w:r w:rsidRPr="005F0F2B">
        <w:rPr>
          <w:rFonts w:ascii="IBM Plex Sans" w:hAnsi="IBM Plex Sans" w:cs="Arial"/>
          <w:color w:val="0D0D0D" w:themeColor="text1" w:themeTint="F2"/>
          <w:sz w:val="22"/>
          <w:szCs w:val="22"/>
          <w:u w:val="single"/>
        </w:rPr>
        <w:t>Punkt 11.4:</w:t>
      </w:r>
      <w:r w:rsidRPr="005F0F2B">
        <w:rPr>
          <w:rFonts w:ascii="IBM Plex Sans" w:hAnsi="IBM Plex Sans" w:cs="Arial"/>
          <w:color w:val="0D0D0D" w:themeColor="text1" w:themeTint="F2"/>
          <w:sz w:val="22"/>
          <w:szCs w:val="22"/>
        </w:rPr>
        <w:t xml:space="preserve"> Endvidere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w:t>
      </w:r>
    </w:p>
    <w:p w14:paraId="3CC45970" w14:textId="77777777" w:rsidR="005F0F2B" w:rsidRPr="005F0F2B" w:rsidRDefault="005F0F2B" w:rsidP="005F0F2B">
      <w:pPr>
        <w:spacing w:line="276" w:lineRule="auto"/>
        <w:rPr>
          <w:rFonts w:ascii="IBM Plex Sans" w:hAnsi="IBM Plex Sans" w:cs="Arial"/>
          <w:color w:val="0D0D0D" w:themeColor="text1" w:themeTint="F2"/>
          <w:sz w:val="22"/>
          <w:szCs w:val="22"/>
        </w:rPr>
      </w:pPr>
    </w:p>
    <w:p w14:paraId="53A7F9D9" w14:textId="77777777" w:rsidR="005F0F2B" w:rsidRPr="005F0F2B" w:rsidRDefault="005F0F2B" w:rsidP="005F0F2B">
      <w:pPr>
        <w:spacing w:line="276" w:lineRule="auto"/>
        <w:rPr>
          <w:rFonts w:ascii="IBM Plex Sans" w:hAnsi="IBM Plex Sans" w:cs="Arial"/>
          <w:color w:val="0D0D0D" w:themeColor="text1" w:themeTint="F2"/>
          <w:sz w:val="22"/>
          <w:szCs w:val="22"/>
        </w:rPr>
      </w:pPr>
      <w:r w:rsidRPr="005F0F2B">
        <w:rPr>
          <w:rFonts w:ascii="IBM Plex Sans" w:hAnsi="IBM Plex Sans" w:cs="Arial"/>
          <w:color w:val="0D0D0D" w:themeColor="text1" w:themeTint="F2"/>
          <w:sz w:val="22"/>
          <w:szCs w:val="22"/>
          <w:u w:val="single"/>
        </w:rPr>
        <w:t>Punkt 11.1-11.4:</w:t>
      </w:r>
      <w:r w:rsidRPr="005F0F2B">
        <w:rPr>
          <w:rFonts w:ascii="IBM Plex Sans" w:hAnsi="IBM Plex Sans" w:cs="Arial"/>
          <w:color w:val="0D0D0D" w:themeColor="text1" w:themeTint="F2"/>
          <w:sz w:val="22"/>
          <w:szCs w:val="22"/>
        </w:rPr>
        <w:t xml:space="preserve"> Der henvises til Datatilsynets hjemmeside, </w:t>
      </w:r>
      <w:hyperlink r:id="rId20" w:history="1">
        <w:r w:rsidRPr="005F0F2B">
          <w:rPr>
            <w:rStyle w:val="Hyperlink"/>
            <w:rFonts w:ascii="IBM Plex Sans" w:hAnsi="IBM Plex Sans" w:cs="Arial"/>
            <w:color w:val="0D0D0D" w:themeColor="text1" w:themeTint="F2"/>
            <w:sz w:val="22"/>
            <w:szCs w:val="22"/>
          </w:rPr>
          <w:t>www.datatilsynet.dk</w:t>
        </w:r>
      </w:hyperlink>
      <w:r w:rsidRPr="005F0F2B">
        <w:rPr>
          <w:rFonts w:ascii="IBM Plex Sans" w:hAnsi="IBM Plex Sans" w:cs="Arial"/>
          <w:color w:val="0D0D0D" w:themeColor="text1" w:themeTint="F2"/>
          <w:sz w:val="22"/>
          <w:szCs w:val="22"/>
        </w:rPr>
        <w:t xml:space="preserve">, hvor der findes både danske og internationale vejledninger i reglerne om databeskyttelse. Her findes der ligeledes skabeloner, som du kan tage udgangspunkt i. Såfremt [kunden] skal behandle personoplysninger på vegne af [Virksomheden], skal der indgås en databehandleraftale i medfør af databeskyttelsesforordningens artikel 28. På Datatilsynets hjemmeside finder du en vejledning om dataansvarlige og </w:t>
      </w:r>
      <w:proofErr w:type="spellStart"/>
      <w:r w:rsidRPr="005F0F2B">
        <w:rPr>
          <w:rFonts w:ascii="IBM Plex Sans" w:hAnsi="IBM Plex Sans" w:cs="Arial"/>
          <w:color w:val="0D0D0D" w:themeColor="text1" w:themeTint="F2"/>
          <w:sz w:val="22"/>
          <w:szCs w:val="22"/>
        </w:rPr>
        <w:t>databehandlere</w:t>
      </w:r>
      <w:proofErr w:type="spellEnd"/>
      <w:r w:rsidRPr="005F0F2B">
        <w:rPr>
          <w:rFonts w:ascii="IBM Plex Sans" w:hAnsi="IBM Plex Sans" w:cs="Arial"/>
          <w:color w:val="0D0D0D" w:themeColor="text1" w:themeTint="F2"/>
          <w:sz w:val="22"/>
          <w:szCs w:val="22"/>
        </w:rPr>
        <w:t xml:space="preserve"> samt en skabelon til en databehandleraftale. </w:t>
      </w:r>
    </w:p>
    <w:p w14:paraId="31B4637B"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70593F85"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lastRenderedPageBreak/>
        <w:t>Ansvarsbegrænsning</w:t>
      </w:r>
    </w:p>
    <w:p w14:paraId="2AE6C95A"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72C75B3B"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12.1</w:t>
      </w:r>
      <w:r w:rsidRPr="005F0F2B">
        <w:rPr>
          <w:rFonts w:ascii="IBM Plex Sans" w:hAnsi="IBM Plex Sans"/>
          <w:color w:val="0D0D0D" w:themeColor="text1" w:themeTint="F2"/>
          <w:sz w:val="22"/>
          <w:szCs w:val="22"/>
        </w:rPr>
        <w:t xml:space="preserve">: Ifølge Aftalen er du og din aftalepartner ikke ansvarlige for manglende opfyldelse af Aftalen, hvis det skyldes forhold, som er uden for jeres kontrol. Det er det, man kalder ”force majeure”. Eksempler på force majeure er fx krig, oversvømmelse og brand. </w:t>
      </w:r>
      <w:r w:rsidRPr="005F0F2B">
        <w:rPr>
          <w:rFonts w:ascii="IBM Plex Sans" w:hAnsi="IBM Plex Sans"/>
          <w:color w:val="0D0D0D" w:themeColor="text1" w:themeTint="F2"/>
          <w:sz w:val="22"/>
          <w:szCs w:val="22"/>
          <w:u w:val="single"/>
        </w:rPr>
        <w:t>Punkt 11.2</w:t>
      </w:r>
      <w:r w:rsidRPr="005F0F2B">
        <w:rPr>
          <w:rFonts w:ascii="IBM Plex Sans" w:hAnsi="IBM Plex Sans"/>
          <w:color w:val="0D0D0D" w:themeColor="text1" w:themeTint="F2"/>
          <w:sz w:val="22"/>
          <w:szCs w:val="22"/>
        </w:rPr>
        <w:t>: Hvis du er Sælger, er du interesseret i, at det ansvar, som du har over for Køber fx for mangler ved Produkter og patentkrænkelse, begrænses. Det kan du gøre ved at indsætte en beløbsmæssig ansvarsbegrænsning i Aftalen.</w:t>
      </w:r>
    </w:p>
    <w:p w14:paraId="6503E8F5" w14:textId="77777777" w:rsidR="005F0F2B" w:rsidRPr="005F0F2B" w:rsidRDefault="005F0F2B" w:rsidP="005F0F2B">
      <w:pPr>
        <w:pStyle w:val="Listeafsnit"/>
        <w:spacing w:line="276" w:lineRule="auto"/>
        <w:ind w:left="567"/>
        <w:rPr>
          <w:rFonts w:ascii="IBM Plex Sans" w:hAnsi="IBM Plex Sans"/>
          <w:b/>
          <w:color w:val="0D0D0D" w:themeColor="text1" w:themeTint="F2"/>
          <w:sz w:val="22"/>
          <w:szCs w:val="22"/>
        </w:rPr>
      </w:pPr>
    </w:p>
    <w:p w14:paraId="620CE907"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Varighed</w:t>
      </w:r>
    </w:p>
    <w:p w14:paraId="24548C35"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5A939ED9" w14:textId="77777777" w:rsidR="005F0F2B" w:rsidRPr="005F0F2B" w:rsidRDefault="005F0F2B" w:rsidP="005F0F2B">
      <w:pPr>
        <w:pStyle w:val="Listeafsnit"/>
        <w:spacing w:line="276" w:lineRule="auto"/>
        <w:ind w:left="0"/>
        <w:rPr>
          <w:rFonts w:ascii="IBM Plex Sans" w:hAnsi="IBM Plex Sans"/>
          <w:color w:val="0D0D0D" w:themeColor="text1" w:themeTint="F2"/>
          <w:sz w:val="22"/>
          <w:szCs w:val="22"/>
        </w:rPr>
      </w:pPr>
      <w:r w:rsidRPr="005F0F2B">
        <w:rPr>
          <w:rFonts w:ascii="IBM Plex Sans" w:hAnsi="IBM Plex Sans"/>
          <w:color w:val="0D0D0D" w:themeColor="text1" w:themeTint="F2"/>
          <w:sz w:val="22"/>
          <w:szCs w:val="22"/>
          <w:u w:val="single"/>
        </w:rPr>
        <w:t>Punkt 13.2</w:t>
      </w:r>
      <w:r w:rsidRPr="005F0F2B">
        <w:rPr>
          <w:rFonts w:ascii="IBM Plex Sans" w:hAnsi="IBM Plex Sans"/>
          <w:color w:val="0D0D0D" w:themeColor="text1" w:themeTint="F2"/>
          <w:sz w:val="22"/>
          <w:szCs w:val="22"/>
        </w:rPr>
        <w:t xml:space="preserve">: Hvis du vil sikre, at du kan komme ud af Aftalen, når du har behov for det, så skal du skrive det i Aftalen. Fx kan det være en god idé at skrive i Aftalen, at hver Part altid kan opsige Aftalen med et vist varsel. Varslets længde er dog ikke ligegyldig. Som Køber kan du fx være afhængig af, at du kan sælge Produktet til dine kunder i en vis periode, og så er du ikke interesseret i et meget kort varsel. </w:t>
      </w:r>
      <w:r w:rsidRPr="005F0F2B">
        <w:rPr>
          <w:rFonts w:ascii="IBM Plex Sans" w:hAnsi="IBM Plex Sans"/>
          <w:color w:val="0D0D0D" w:themeColor="text1" w:themeTint="F2"/>
          <w:sz w:val="22"/>
          <w:szCs w:val="22"/>
          <w:u w:val="single"/>
        </w:rPr>
        <w:t>Punkt 12.3</w:t>
      </w:r>
      <w:r w:rsidRPr="005F0F2B">
        <w:rPr>
          <w:rFonts w:ascii="IBM Plex Sans" w:hAnsi="IBM Plex Sans"/>
          <w:color w:val="0D0D0D" w:themeColor="text1" w:themeTint="F2"/>
          <w:sz w:val="22"/>
          <w:szCs w:val="22"/>
        </w:rPr>
        <w:t>: Hvis en Part ikke overholder Aftalen, er det en god idé, at Aftalen giver den anden Part mulighed for at ophæve Aftalen med meget kort varsel. Fx hvis Sælger gentagne gang leverer for sent eller i en for dårlig kvalitet.</w:t>
      </w:r>
    </w:p>
    <w:p w14:paraId="6C41E39D"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36C5F6BF" w14:textId="77777777" w:rsidR="005F0F2B" w:rsidRPr="005F0F2B" w:rsidRDefault="005F0F2B" w:rsidP="005F0F2B">
      <w:pPr>
        <w:pStyle w:val="Listeafsnit"/>
        <w:numPr>
          <w:ilvl w:val="0"/>
          <w:numId w:val="9"/>
        </w:numPr>
        <w:spacing w:line="276" w:lineRule="auto"/>
        <w:ind w:left="567" w:hanging="567"/>
        <w:rPr>
          <w:rFonts w:ascii="IBM Plex Sans" w:hAnsi="IBM Plex Sans"/>
          <w:b/>
          <w:color w:val="0D0D0D" w:themeColor="text1" w:themeTint="F2"/>
          <w:sz w:val="22"/>
          <w:szCs w:val="22"/>
        </w:rPr>
      </w:pPr>
      <w:r w:rsidRPr="005F0F2B">
        <w:rPr>
          <w:rFonts w:ascii="IBM Plex Sans" w:hAnsi="IBM Plex Sans"/>
          <w:b/>
          <w:color w:val="0D0D0D" w:themeColor="text1" w:themeTint="F2"/>
          <w:sz w:val="22"/>
          <w:szCs w:val="22"/>
        </w:rPr>
        <w:t>Andre vilkår</w:t>
      </w:r>
    </w:p>
    <w:p w14:paraId="6397C8D6" w14:textId="77777777" w:rsidR="005F0F2B" w:rsidRPr="005F0F2B" w:rsidRDefault="005F0F2B" w:rsidP="005F0F2B">
      <w:pPr>
        <w:pStyle w:val="Listeafsnit"/>
        <w:spacing w:line="276" w:lineRule="auto"/>
        <w:rPr>
          <w:rFonts w:ascii="IBM Plex Sans" w:hAnsi="IBM Plex Sans"/>
          <w:color w:val="0D0D0D" w:themeColor="text1" w:themeTint="F2"/>
          <w:sz w:val="22"/>
          <w:szCs w:val="22"/>
          <w:u w:val="single"/>
        </w:rPr>
      </w:pPr>
    </w:p>
    <w:p w14:paraId="5100B692"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r w:rsidRPr="005F0F2B">
        <w:rPr>
          <w:rFonts w:ascii="IBM Plex Sans" w:hAnsi="IBM Plex Sans"/>
          <w:color w:val="0D0D0D" w:themeColor="text1" w:themeTint="F2"/>
          <w:sz w:val="22"/>
          <w:szCs w:val="22"/>
          <w:u w:val="single"/>
        </w:rPr>
        <w:t>Punkt 14.2</w:t>
      </w:r>
      <w:r w:rsidRPr="005F0F2B">
        <w:rPr>
          <w:rFonts w:ascii="IBM Plex Sans" w:hAnsi="IBM Plex Sans"/>
          <w:color w:val="0D0D0D" w:themeColor="text1" w:themeTint="F2"/>
          <w:sz w:val="22"/>
          <w:szCs w:val="22"/>
        </w:rPr>
        <w:t xml:space="preserve">: Det skal fremgå af Aftalen, hvilket lands ret der skal gælde, hvis der opstår en uenighed, som Sælger og Køber ikke kan løse i mindelighed. Hvis både du og din aftalepartner er danske, er det oplagt at vælge dansk ret. Hvis din aftalepartner derimod ikke er dansk, så vil du måske insistere på dansk ret og din aftalepartner på sit eget lands ret. Det kan her være en mulighed at vælge et tredje lands ret, idet det dog skal bemærkes, at man i givet fald løber en standpunktsrisiko. </w:t>
      </w:r>
    </w:p>
    <w:p w14:paraId="2368F068"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rPr>
      </w:pPr>
    </w:p>
    <w:p w14:paraId="0BDB98CE"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0281D435"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49B69FAA"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7E180F41"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7C0E20ED"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45122F17"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65A55D18" w14:textId="7C137C99" w:rsidR="005F0F2B" w:rsidRPr="005F0F2B" w:rsidRDefault="005F0F2B" w:rsidP="005F0F2B">
      <w:pPr>
        <w:spacing w:line="276" w:lineRule="auto"/>
        <w:jc w:val="center"/>
        <w:rPr>
          <w:rFonts w:ascii="IBM Plex Sans" w:hAnsi="IBM Plex Sans"/>
          <w:b/>
          <w:color w:val="0D0D0D" w:themeColor="text1" w:themeTint="F2"/>
          <w:sz w:val="22"/>
          <w:szCs w:val="22"/>
        </w:rPr>
      </w:pPr>
    </w:p>
    <w:p w14:paraId="129FE568" w14:textId="1B3088F2" w:rsidR="005F0F2B" w:rsidRPr="005F0F2B" w:rsidRDefault="005F0F2B" w:rsidP="005F0F2B">
      <w:pPr>
        <w:spacing w:line="276" w:lineRule="auto"/>
        <w:jc w:val="center"/>
        <w:rPr>
          <w:rFonts w:ascii="IBM Plex Sans" w:hAnsi="IBM Plex Sans"/>
          <w:b/>
          <w:color w:val="0D0D0D" w:themeColor="text1" w:themeTint="F2"/>
          <w:sz w:val="22"/>
          <w:szCs w:val="22"/>
        </w:rPr>
      </w:pPr>
    </w:p>
    <w:p w14:paraId="30026E4D" w14:textId="684E5743" w:rsidR="005F0F2B" w:rsidRPr="005F0F2B" w:rsidRDefault="005F0F2B" w:rsidP="005F0F2B">
      <w:pPr>
        <w:spacing w:line="276" w:lineRule="auto"/>
        <w:jc w:val="center"/>
        <w:rPr>
          <w:rFonts w:ascii="IBM Plex Sans" w:hAnsi="IBM Plex Sans"/>
          <w:b/>
          <w:color w:val="0D0D0D" w:themeColor="text1" w:themeTint="F2"/>
          <w:sz w:val="22"/>
          <w:szCs w:val="22"/>
        </w:rPr>
      </w:pPr>
    </w:p>
    <w:p w14:paraId="207696A2" w14:textId="007D90E8" w:rsidR="005F0F2B" w:rsidRPr="005F0F2B" w:rsidRDefault="005F0F2B" w:rsidP="005F0F2B">
      <w:pPr>
        <w:spacing w:line="276" w:lineRule="auto"/>
        <w:jc w:val="center"/>
        <w:rPr>
          <w:rFonts w:ascii="IBM Plex Sans" w:hAnsi="IBM Plex Sans"/>
          <w:b/>
          <w:color w:val="0D0D0D" w:themeColor="text1" w:themeTint="F2"/>
          <w:sz w:val="22"/>
          <w:szCs w:val="22"/>
        </w:rPr>
      </w:pPr>
    </w:p>
    <w:p w14:paraId="6C2CD5C4" w14:textId="0F11B6F8" w:rsidR="005F0F2B" w:rsidRPr="005F0F2B" w:rsidRDefault="005F0F2B" w:rsidP="005F0F2B">
      <w:pPr>
        <w:spacing w:line="276" w:lineRule="auto"/>
        <w:jc w:val="center"/>
        <w:rPr>
          <w:rFonts w:ascii="IBM Plex Sans" w:hAnsi="IBM Plex Sans"/>
          <w:b/>
          <w:color w:val="0D0D0D" w:themeColor="text1" w:themeTint="F2"/>
          <w:sz w:val="22"/>
          <w:szCs w:val="22"/>
        </w:rPr>
      </w:pPr>
    </w:p>
    <w:p w14:paraId="35A5035D" w14:textId="167ED444" w:rsidR="005F0F2B" w:rsidRPr="005F0F2B" w:rsidRDefault="005F0F2B" w:rsidP="005F0F2B">
      <w:pPr>
        <w:spacing w:line="276" w:lineRule="auto"/>
        <w:jc w:val="center"/>
        <w:rPr>
          <w:rFonts w:ascii="IBM Plex Sans" w:hAnsi="IBM Plex Sans"/>
          <w:b/>
          <w:color w:val="0D0D0D" w:themeColor="text1" w:themeTint="F2"/>
          <w:sz w:val="22"/>
          <w:szCs w:val="22"/>
        </w:rPr>
      </w:pPr>
    </w:p>
    <w:p w14:paraId="1AA1E123" w14:textId="4F46CA8A" w:rsidR="005F0F2B" w:rsidRPr="005F0F2B" w:rsidRDefault="005F0F2B" w:rsidP="005F0F2B">
      <w:pPr>
        <w:spacing w:line="276" w:lineRule="auto"/>
        <w:jc w:val="center"/>
        <w:rPr>
          <w:rFonts w:ascii="IBM Plex Sans" w:hAnsi="IBM Plex Sans"/>
          <w:b/>
          <w:color w:val="0D0D0D" w:themeColor="text1" w:themeTint="F2"/>
          <w:sz w:val="22"/>
          <w:szCs w:val="22"/>
        </w:rPr>
      </w:pPr>
    </w:p>
    <w:p w14:paraId="69D4ED44" w14:textId="289F4171" w:rsidR="005F0F2B" w:rsidRPr="005F0F2B" w:rsidRDefault="005F0F2B" w:rsidP="005F0F2B">
      <w:pPr>
        <w:spacing w:line="276" w:lineRule="auto"/>
        <w:jc w:val="center"/>
        <w:rPr>
          <w:rFonts w:ascii="IBM Plex Sans" w:hAnsi="IBM Plex Sans"/>
          <w:b/>
          <w:color w:val="0D0D0D" w:themeColor="text1" w:themeTint="F2"/>
          <w:sz w:val="22"/>
          <w:szCs w:val="22"/>
        </w:rPr>
      </w:pPr>
    </w:p>
    <w:p w14:paraId="009E4992" w14:textId="53791E62" w:rsidR="005F0F2B" w:rsidRPr="005F0F2B" w:rsidRDefault="005F0F2B" w:rsidP="005F0F2B">
      <w:pPr>
        <w:spacing w:line="276" w:lineRule="auto"/>
        <w:jc w:val="center"/>
        <w:rPr>
          <w:rFonts w:ascii="IBM Plex Sans" w:hAnsi="IBM Plex Sans"/>
          <w:b/>
          <w:color w:val="0D0D0D" w:themeColor="text1" w:themeTint="F2"/>
          <w:sz w:val="22"/>
          <w:szCs w:val="22"/>
        </w:rPr>
      </w:pPr>
    </w:p>
    <w:p w14:paraId="688F8638" w14:textId="651CF7DF" w:rsidR="005F0F2B" w:rsidRPr="005F0F2B" w:rsidRDefault="005F0F2B" w:rsidP="005F0F2B">
      <w:pPr>
        <w:spacing w:line="276" w:lineRule="auto"/>
        <w:jc w:val="center"/>
        <w:rPr>
          <w:rFonts w:ascii="IBM Plex Sans" w:hAnsi="IBM Plex Sans"/>
          <w:b/>
          <w:color w:val="0D0D0D" w:themeColor="text1" w:themeTint="F2"/>
          <w:sz w:val="22"/>
          <w:szCs w:val="22"/>
        </w:rPr>
      </w:pPr>
    </w:p>
    <w:p w14:paraId="235E0493" w14:textId="68E237B8" w:rsidR="005F0F2B" w:rsidRPr="005F0F2B" w:rsidRDefault="005F0F2B" w:rsidP="005F0F2B">
      <w:pPr>
        <w:spacing w:line="276" w:lineRule="auto"/>
        <w:jc w:val="center"/>
        <w:rPr>
          <w:rFonts w:ascii="IBM Plex Sans" w:hAnsi="IBM Plex Sans"/>
          <w:b/>
          <w:color w:val="0D0D0D" w:themeColor="text1" w:themeTint="F2"/>
          <w:sz w:val="22"/>
          <w:szCs w:val="22"/>
        </w:rPr>
      </w:pPr>
    </w:p>
    <w:p w14:paraId="49807026" w14:textId="5F5B47A1" w:rsidR="005F0F2B" w:rsidRPr="005F0F2B" w:rsidRDefault="005F0F2B" w:rsidP="005F0F2B">
      <w:pPr>
        <w:spacing w:line="276" w:lineRule="auto"/>
        <w:jc w:val="center"/>
        <w:rPr>
          <w:rFonts w:ascii="IBM Plex Sans" w:hAnsi="IBM Plex Sans"/>
          <w:b/>
          <w:color w:val="0D0D0D" w:themeColor="text1" w:themeTint="F2"/>
          <w:sz w:val="22"/>
          <w:szCs w:val="22"/>
        </w:rPr>
      </w:pPr>
    </w:p>
    <w:p w14:paraId="4BD7E5EC" w14:textId="349C60EF" w:rsidR="005F0F2B" w:rsidRPr="005F0F2B" w:rsidRDefault="005F0F2B" w:rsidP="005F0F2B">
      <w:pPr>
        <w:spacing w:line="276" w:lineRule="auto"/>
        <w:jc w:val="center"/>
        <w:rPr>
          <w:rFonts w:ascii="IBM Plex Sans" w:hAnsi="IBM Plex Sans"/>
          <w:b/>
          <w:color w:val="0D0D0D" w:themeColor="text1" w:themeTint="F2"/>
          <w:sz w:val="22"/>
          <w:szCs w:val="22"/>
        </w:rPr>
      </w:pPr>
    </w:p>
    <w:p w14:paraId="6E3F6E43" w14:textId="1275FE73" w:rsidR="005F0F2B" w:rsidRPr="005F0F2B" w:rsidRDefault="005F0F2B" w:rsidP="005F0F2B">
      <w:pPr>
        <w:spacing w:line="276" w:lineRule="auto"/>
        <w:jc w:val="center"/>
        <w:rPr>
          <w:rFonts w:ascii="IBM Plex Sans" w:hAnsi="IBM Plex Sans"/>
          <w:b/>
          <w:color w:val="0D0D0D" w:themeColor="text1" w:themeTint="F2"/>
          <w:sz w:val="22"/>
          <w:szCs w:val="22"/>
        </w:rPr>
      </w:pPr>
    </w:p>
    <w:p w14:paraId="53AF29DD" w14:textId="01E5E3F2" w:rsidR="005F0F2B" w:rsidRPr="005F0F2B" w:rsidRDefault="005F0F2B" w:rsidP="005F0F2B">
      <w:pPr>
        <w:spacing w:line="276" w:lineRule="auto"/>
        <w:jc w:val="center"/>
        <w:rPr>
          <w:rFonts w:ascii="IBM Plex Sans" w:hAnsi="IBM Plex Sans"/>
          <w:b/>
          <w:color w:val="0D0D0D" w:themeColor="text1" w:themeTint="F2"/>
          <w:sz w:val="22"/>
          <w:szCs w:val="22"/>
        </w:rPr>
      </w:pPr>
    </w:p>
    <w:p w14:paraId="6B667A87" w14:textId="55776F0D" w:rsidR="005F0F2B" w:rsidRPr="005F0F2B" w:rsidRDefault="005F0F2B" w:rsidP="005F0F2B">
      <w:pPr>
        <w:spacing w:line="276" w:lineRule="auto"/>
        <w:jc w:val="center"/>
        <w:rPr>
          <w:rFonts w:ascii="IBM Plex Sans" w:hAnsi="IBM Plex Sans"/>
          <w:b/>
          <w:color w:val="0D0D0D" w:themeColor="text1" w:themeTint="F2"/>
          <w:sz w:val="22"/>
          <w:szCs w:val="22"/>
        </w:rPr>
      </w:pPr>
    </w:p>
    <w:p w14:paraId="61EC26C1" w14:textId="3B979C92" w:rsidR="005F0F2B" w:rsidRPr="005F0F2B" w:rsidRDefault="005F0F2B" w:rsidP="005F0F2B">
      <w:pPr>
        <w:spacing w:line="276" w:lineRule="auto"/>
        <w:jc w:val="center"/>
        <w:rPr>
          <w:rFonts w:ascii="IBM Plex Sans" w:hAnsi="IBM Plex Sans"/>
          <w:b/>
          <w:color w:val="0D0D0D" w:themeColor="text1" w:themeTint="F2"/>
          <w:sz w:val="22"/>
          <w:szCs w:val="22"/>
        </w:rPr>
      </w:pPr>
    </w:p>
    <w:p w14:paraId="425E5A71" w14:textId="38C06CE1" w:rsidR="005F0F2B" w:rsidRPr="005F0F2B" w:rsidRDefault="005F0F2B" w:rsidP="005F0F2B">
      <w:pPr>
        <w:spacing w:line="276" w:lineRule="auto"/>
        <w:jc w:val="center"/>
        <w:rPr>
          <w:rFonts w:ascii="IBM Plex Sans" w:hAnsi="IBM Plex Sans"/>
          <w:b/>
          <w:color w:val="0D0D0D" w:themeColor="text1" w:themeTint="F2"/>
          <w:sz w:val="22"/>
          <w:szCs w:val="22"/>
        </w:rPr>
      </w:pPr>
    </w:p>
    <w:p w14:paraId="491DC6AF" w14:textId="165C0457" w:rsidR="005F0F2B" w:rsidRPr="005F0F2B" w:rsidRDefault="005F0F2B" w:rsidP="005F0F2B">
      <w:pPr>
        <w:spacing w:line="276" w:lineRule="auto"/>
        <w:jc w:val="center"/>
        <w:rPr>
          <w:rFonts w:ascii="IBM Plex Sans" w:hAnsi="IBM Plex Sans"/>
          <w:b/>
          <w:color w:val="0D0D0D" w:themeColor="text1" w:themeTint="F2"/>
          <w:sz w:val="22"/>
          <w:szCs w:val="22"/>
        </w:rPr>
      </w:pPr>
    </w:p>
    <w:p w14:paraId="631F2C22" w14:textId="3DED0CD6" w:rsidR="005F0F2B" w:rsidRPr="005F0F2B" w:rsidRDefault="005F0F2B" w:rsidP="005F0F2B">
      <w:pPr>
        <w:spacing w:line="276" w:lineRule="auto"/>
        <w:jc w:val="center"/>
        <w:rPr>
          <w:rFonts w:ascii="IBM Plex Sans" w:hAnsi="IBM Plex Sans"/>
          <w:b/>
          <w:color w:val="0D0D0D" w:themeColor="text1" w:themeTint="F2"/>
          <w:sz w:val="22"/>
          <w:szCs w:val="22"/>
        </w:rPr>
      </w:pPr>
    </w:p>
    <w:p w14:paraId="4A124A94"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13F15676"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2C8EA032"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76A461E5" w14:textId="77777777" w:rsidR="005F0F2B" w:rsidRPr="005F0F2B" w:rsidRDefault="005F0F2B" w:rsidP="005F0F2B">
      <w:pPr>
        <w:spacing w:line="276" w:lineRule="auto"/>
        <w:jc w:val="center"/>
        <w:rPr>
          <w:rFonts w:ascii="IBM Plex Sans" w:hAnsi="IBM Plex Sans"/>
          <w:b/>
          <w:color w:val="0D0D0D" w:themeColor="text1" w:themeTint="F2"/>
          <w:sz w:val="22"/>
          <w:szCs w:val="22"/>
        </w:rPr>
      </w:pPr>
    </w:p>
    <w:p w14:paraId="0C70EA8E" w14:textId="77777777" w:rsidR="005F0F2B" w:rsidRPr="005F0F2B" w:rsidRDefault="005F0F2B" w:rsidP="005F0F2B">
      <w:pPr>
        <w:spacing w:line="276" w:lineRule="auto"/>
        <w:jc w:val="center"/>
        <w:rPr>
          <w:rFonts w:ascii="IBM Plex Sans" w:hAnsi="IBM Plex Sans"/>
          <w:b/>
          <w:color w:val="0D0D0D" w:themeColor="text1" w:themeTint="F2"/>
          <w:sz w:val="22"/>
          <w:szCs w:val="22"/>
          <w:lang w:val="en-GB"/>
        </w:rPr>
      </w:pPr>
      <w:r w:rsidRPr="005F0F2B">
        <w:rPr>
          <w:rFonts w:ascii="IBM Plex Sans" w:hAnsi="IBM Plex Sans"/>
          <w:b/>
          <w:color w:val="0D0D0D" w:themeColor="text1" w:themeTint="F2"/>
          <w:sz w:val="22"/>
          <w:szCs w:val="22"/>
          <w:lang w:val="en-GB"/>
        </w:rPr>
        <w:t>Product Supply Agreement guide</w:t>
      </w:r>
    </w:p>
    <w:p w14:paraId="62E300BB"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0. Parties</w:t>
      </w:r>
    </w:p>
    <w:p w14:paraId="399FFA26"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The buyer's and the seller's names, business registration numbers and addresses must be correct. For example, businesses in the same group often have very similar names, and it is not necessarily immaterial which of the group companies you are doing business with. </w:t>
      </w:r>
    </w:p>
    <w:p w14:paraId="494C5314"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You can find company registration numbers and other information on Danish businesses at the </w:t>
      </w:r>
      <w:hyperlink r:id="rId21" w:tgtFrame="_blank" w:tooltip="Find business details in the Central Business Register (CVR) – Opens in new window (mainly in Danish)" w:history="1">
        <w:r w:rsidRPr="005F0F2B">
          <w:rPr>
            <w:rFonts w:ascii="IBM Plex Sans" w:hAnsi="IBM Plex Sans"/>
            <w:color w:val="0D0D0D" w:themeColor="text1" w:themeTint="F2"/>
            <w:sz w:val="22"/>
            <w:szCs w:val="22"/>
            <w:u w:val="single"/>
            <w:lang w:val="en-US"/>
          </w:rPr>
          <w:t>Central Business Register (CVR)</w:t>
        </w:r>
      </w:hyperlink>
      <w:r w:rsidRPr="005F0F2B">
        <w:rPr>
          <w:rFonts w:ascii="IBM Plex Sans" w:hAnsi="IBM Plex Sans"/>
          <w:color w:val="0D0D0D" w:themeColor="text1" w:themeTint="F2"/>
          <w:sz w:val="22"/>
          <w:szCs w:val="22"/>
          <w:lang w:val="en-US"/>
        </w:rPr>
        <w:t>.</w:t>
      </w:r>
    </w:p>
    <w:p w14:paraId="101C06DA"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1. Definitions</w:t>
      </w:r>
    </w:p>
    <w:p w14:paraId="1E3F91D8"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Product: It is important to state precisely in Appendix A which product it is that the seller is to supply to the buyer. Otherwise, disagreement may arise as to whether the seller's product fulfils the buyer's requirements. </w:t>
      </w:r>
    </w:p>
    <w:p w14:paraId="07CACB3D"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rPr>
      </w:pPr>
      <w:proofErr w:type="spellStart"/>
      <w:r w:rsidRPr="005F0F2B">
        <w:rPr>
          <w:rFonts w:ascii="IBM Plex Sans" w:hAnsi="IBM Plex Sans"/>
          <w:color w:val="0D0D0D" w:themeColor="text1" w:themeTint="F2"/>
          <w:sz w:val="22"/>
          <w:szCs w:val="22"/>
        </w:rPr>
        <w:t>Appendix</w:t>
      </w:r>
      <w:proofErr w:type="spellEnd"/>
      <w:r w:rsidRPr="005F0F2B">
        <w:rPr>
          <w:rFonts w:ascii="IBM Plex Sans" w:hAnsi="IBM Plex Sans"/>
          <w:color w:val="0D0D0D" w:themeColor="text1" w:themeTint="F2"/>
          <w:sz w:val="22"/>
          <w:szCs w:val="22"/>
        </w:rPr>
        <w:t xml:space="preserve"> A </w:t>
      </w:r>
      <w:proofErr w:type="spellStart"/>
      <w:r w:rsidRPr="005F0F2B">
        <w:rPr>
          <w:rFonts w:ascii="IBM Plex Sans" w:hAnsi="IBM Plex Sans"/>
          <w:color w:val="0D0D0D" w:themeColor="text1" w:themeTint="F2"/>
          <w:sz w:val="22"/>
          <w:szCs w:val="22"/>
        </w:rPr>
        <w:t>can</w:t>
      </w:r>
      <w:proofErr w:type="spellEnd"/>
      <w:r w:rsidRPr="005F0F2B">
        <w:rPr>
          <w:rFonts w:ascii="IBM Plex Sans" w:hAnsi="IBM Plex Sans"/>
          <w:color w:val="0D0D0D" w:themeColor="text1" w:themeTint="F2"/>
          <w:sz w:val="22"/>
          <w:szCs w:val="22"/>
        </w:rPr>
        <w:t xml:space="preserve"> </w:t>
      </w:r>
      <w:proofErr w:type="spellStart"/>
      <w:r w:rsidRPr="005F0F2B">
        <w:rPr>
          <w:rFonts w:ascii="IBM Plex Sans" w:hAnsi="IBM Plex Sans"/>
          <w:color w:val="0D0D0D" w:themeColor="text1" w:themeTint="F2"/>
          <w:sz w:val="22"/>
          <w:szCs w:val="22"/>
        </w:rPr>
        <w:t>describe</w:t>
      </w:r>
      <w:proofErr w:type="spellEnd"/>
      <w:r w:rsidRPr="005F0F2B">
        <w:rPr>
          <w:rFonts w:ascii="IBM Plex Sans" w:hAnsi="IBM Plex Sans"/>
          <w:color w:val="0D0D0D" w:themeColor="text1" w:themeTint="F2"/>
          <w:sz w:val="22"/>
          <w:szCs w:val="22"/>
        </w:rPr>
        <w:t xml:space="preserve">: </w:t>
      </w:r>
    </w:p>
    <w:p w14:paraId="09E38661" w14:textId="77777777" w:rsidR="005F0F2B" w:rsidRPr="005F0F2B" w:rsidRDefault="005F0F2B" w:rsidP="005F0F2B">
      <w:pPr>
        <w:numPr>
          <w:ilvl w:val="0"/>
          <w:numId w:val="10"/>
        </w:numPr>
        <w:spacing w:before="100" w:beforeAutospacing="1" w:after="100" w:afterAutospacing="1" w:line="276" w:lineRule="auto"/>
        <w:ind w:left="1077"/>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The functionality, form, size, material and </w:t>
      </w:r>
      <w:proofErr w:type="spellStart"/>
      <w:r w:rsidRPr="005F0F2B">
        <w:rPr>
          <w:rFonts w:ascii="IBM Plex Sans" w:hAnsi="IBM Plex Sans"/>
          <w:color w:val="0D0D0D" w:themeColor="text1" w:themeTint="F2"/>
          <w:sz w:val="22"/>
          <w:szCs w:val="22"/>
          <w:lang w:val="en-US"/>
        </w:rPr>
        <w:t>colour</w:t>
      </w:r>
      <w:proofErr w:type="spellEnd"/>
      <w:r w:rsidRPr="005F0F2B">
        <w:rPr>
          <w:rFonts w:ascii="IBM Plex Sans" w:hAnsi="IBM Plex Sans"/>
          <w:color w:val="0D0D0D" w:themeColor="text1" w:themeTint="F2"/>
          <w:sz w:val="22"/>
          <w:szCs w:val="22"/>
          <w:lang w:val="en-US"/>
        </w:rPr>
        <w:t xml:space="preserve"> of the product</w:t>
      </w:r>
    </w:p>
    <w:p w14:paraId="78A6F8F2" w14:textId="77777777" w:rsidR="005F0F2B" w:rsidRPr="005F0F2B" w:rsidRDefault="005F0F2B" w:rsidP="005F0F2B">
      <w:pPr>
        <w:numPr>
          <w:ilvl w:val="0"/>
          <w:numId w:val="10"/>
        </w:numPr>
        <w:spacing w:before="100" w:beforeAutospacing="1" w:after="100" w:afterAutospacing="1" w:line="276" w:lineRule="auto"/>
        <w:ind w:left="1077"/>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ii) Danish and foreign statutory requirements or standards which the product must meet</w:t>
      </w:r>
    </w:p>
    <w:p w14:paraId="38A96795" w14:textId="77777777" w:rsidR="005F0F2B" w:rsidRPr="005F0F2B" w:rsidRDefault="005F0F2B" w:rsidP="005F0F2B">
      <w:pPr>
        <w:numPr>
          <w:ilvl w:val="0"/>
          <w:numId w:val="10"/>
        </w:numPr>
        <w:spacing w:before="100" w:beforeAutospacing="1" w:after="100" w:afterAutospacing="1" w:line="276" w:lineRule="auto"/>
        <w:ind w:left="1077"/>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iii) labelling and packaging requirements to be met by the product, and iv) requirements as regards the seller's quality assurance system.</w:t>
      </w:r>
    </w:p>
    <w:p w14:paraId="55F788C8" w14:textId="77777777" w:rsidR="005F0F2B" w:rsidRPr="005F0F2B" w:rsidRDefault="005F0F2B" w:rsidP="005F0F2B">
      <w:pPr>
        <w:spacing w:before="100" w:beforeAutospacing="1" w:after="100" w:afterAutospacing="1" w:line="276" w:lineRule="auto"/>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2. Scope</w:t>
      </w:r>
    </w:p>
    <w:p w14:paraId="14474FB4" w14:textId="77777777" w:rsidR="005F0F2B" w:rsidRPr="005F0F2B" w:rsidRDefault="005F0F2B" w:rsidP="005F0F2B">
      <w:pPr>
        <w:spacing w:before="100" w:beforeAutospacing="1" w:after="100" w:afterAutospacing="1" w:line="276" w:lineRule="auto"/>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lastRenderedPageBreak/>
        <w:t>Clause 2.2: This clause means that if the seller has printed a set of General Terms and conditions of Sale on his invoice, or if the buyer has printed a set of General Terms and Conditions of Purchase on his purchase order, then they are not binding on the parties, unless otherwise agreed. So, only the terms set out in the agreement are binding on the seller and the buyer. Despite the insertion of Clause 2.2, it is a good idea to object in writing to any General Terms and Conditions of Purchase which you may receive, just so as to avoid any misunderstanding as to what has been agreed.</w:t>
      </w:r>
    </w:p>
    <w:p w14:paraId="0EC96736"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3. Product changes</w:t>
      </w:r>
    </w:p>
    <w:p w14:paraId="5F894CA5"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 3.1: If the seller decides to change or discontinue the production of the product, it is often important that the buyer be notified. Such a decision may mean that the buyer is no longer interested in the product, or that the buyer would like to be given the chance of placing orders for a last delivery of the product, for example so as to be able to meet his delivery obligations vis-à-vis his customers. Unless otherwise stated in the agreement, the buyer has no statutory right to be allowed to cancel or place purchase orders.</w:t>
      </w:r>
    </w:p>
    <w:p w14:paraId="314E4177"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4. Purchase orders and forecasts</w:t>
      </w:r>
    </w:p>
    <w:p w14:paraId="22323ECF" w14:textId="77777777" w:rsidR="005F0F2B" w:rsidRPr="005F0F2B" w:rsidRDefault="005F0F2B" w:rsidP="005F0F2B">
      <w:pPr>
        <w:spacing w:before="100" w:beforeAutospacing="1" w:after="100" w:afterAutospacing="1" w:line="276" w:lineRule="auto"/>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4.1: It is important for the agreement to state specifically when a binding agreement is made between the parties concerning the purchase and sale of a product. The agreement assumes that a binding agreement is made when the seller has confirmed the buyer's written purchase order in writing. So, under this agreement, oral agreements concerning the purchase and sale of a product are not binding on the parties. </w:t>
      </w:r>
    </w:p>
    <w:p w14:paraId="7CA05719" w14:textId="77777777" w:rsidR="005F0F2B" w:rsidRPr="005F0F2B" w:rsidRDefault="005F0F2B" w:rsidP="005F0F2B">
      <w:pPr>
        <w:spacing w:before="100" w:beforeAutospacing="1" w:after="100" w:afterAutospacing="1" w:line="276" w:lineRule="auto"/>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 4.3: The seller may like the buyer to forecast his expected purchases of the product at regular intervals. As a buyer, you should not undertake to submit a binding purchasing forecast as you will then also be obliged to fulfil the forecast.</w:t>
      </w:r>
    </w:p>
    <w:p w14:paraId="2E3A5A5C"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5. Delivery</w:t>
      </w:r>
    </w:p>
    <w:p w14:paraId="0FA95411"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5.1: As a buyer, you are interested in always being able to rely on receiving delivery of a product within a certain time of placing your order. You should therefore ensure that the agreement contains provisions concerning throughput time. </w:t>
      </w:r>
    </w:p>
    <w:p w14:paraId="6E0ABF14"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5.2: It is important for the parties to agree on the applicable terms of delivery. The terms of delivery determine who must </w:t>
      </w:r>
      <w:proofErr w:type="spellStart"/>
      <w:r w:rsidRPr="005F0F2B">
        <w:rPr>
          <w:rFonts w:ascii="IBM Plex Sans" w:hAnsi="IBM Plex Sans"/>
          <w:color w:val="0D0D0D" w:themeColor="text1" w:themeTint="F2"/>
          <w:sz w:val="22"/>
          <w:szCs w:val="22"/>
          <w:lang w:val="en-US"/>
        </w:rPr>
        <w:t>organise</w:t>
      </w:r>
      <w:proofErr w:type="spellEnd"/>
      <w:r w:rsidRPr="005F0F2B">
        <w:rPr>
          <w:rFonts w:ascii="IBM Plex Sans" w:hAnsi="IBM Plex Sans"/>
          <w:color w:val="0D0D0D" w:themeColor="text1" w:themeTint="F2"/>
          <w:sz w:val="22"/>
          <w:szCs w:val="22"/>
          <w:lang w:val="en-US"/>
        </w:rPr>
        <w:t xml:space="preserve"> and pay for transport, insurance, import duties etc., and who is responsible for loss of or damage to the product in transit. </w:t>
      </w:r>
    </w:p>
    <w:p w14:paraId="2D51573B"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You can read about Incoterms at </w:t>
      </w:r>
      <w:hyperlink r:id="rId22" w:tooltip="Read more about INCOTERMS here – opens in new window" w:history="1">
        <w:r w:rsidRPr="005F0F2B">
          <w:rPr>
            <w:rFonts w:ascii="IBM Plex Sans" w:hAnsi="IBM Plex Sans"/>
            <w:color w:val="0D0D0D" w:themeColor="text1" w:themeTint="F2"/>
            <w:sz w:val="22"/>
            <w:szCs w:val="22"/>
            <w:u w:val="single"/>
            <w:lang w:val="en-US"/>
          </w:rPr>
          <w:t>International Chamber of Commerce</w:t>
        </w:r>
      </w:hyperlink>
      <w:r w:rsidRPr="005F0F2B">
        <w:rPr>
          <w:rFonts w:ascii="IBM Plex Sans" w:hAnsi="IBM Plex Sans"/>
          <w:color w:val="0D0D0D" w:themeColor="text1" w:themeTint="F2"/>
          <w:sz w:val="22"/>
          <w:szCs w:val="22"/>
          <w:lang w:val="en-US"/>
        </w:rPr>
        <w:t>.</w:t>
      </w:r>
    </w:p>
    <w:p w14:paraId="248C3ABE"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6. Price and payment</w:t>
      </w:r>
    </w:p>
    <w:p w14:paraId="32B6495D"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lastRenderedPageBreak/>
        <w:t xml:space="preserve">Clause 6.1: The agreement must clearly state the price of the product. If the product comes in different versions, or if the product consists of several parts, different prices may apply. </w:t>
      </w:r>
    </w:p>
    <w:p w14:paraId="1629536C"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6.2: It is also important for the agreement to clearly state when the buyer must settle the invoices issued by the seller. </w:t>
      </w:r>
    </w:p>
    <w:p w14:paraId="4A721985"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6.3: As the buyer, you must remember that if you do not pay the seller's invoice on time, the seller is entitled to charge interest on the outstanding amount. </w:t>
      </w:r>
    </w:p>
    <w:p w14:paraId="1649E181"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7. Product warranty</w:t>
      </w:r>
    </w:p>
    <w:p w14:paraId="2B5CD1B4"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Clauses 7.1-7.6: As the buyer of a product, you take it for granted that it will last for a certain period of time bore needing repairs. It is therefore a good idea to agree with the seller that the seller will warrant that the product is free from defects for a certain period of time after delivery. If the seller has issued a product warranty, you are entitled to have any defects in the product repaired at no additional cost. If the seller has not issued a product warranty, you enjoy a right to complain under the Danish Sale of Goods Act (</w:t>
      </w:r>
      <w:proofErr w:type="spellStart"/>
      <w:r w:rsidRPr="005F0F2B">
        <w:rPr>
          <w:rFonts w:ascii="IBM Plex Sans" w:hAnsi="IBM Plex Sans"/>
          <w:color w:val="0D0D0D" w:themeColor="text1" w:themeTint="F2"/>
          <w:sz w:val="22"/>
          <w:szCs w:val="22"/>
          <w:lang w:val="en-US"/>
        </w:rPr>
        <w:t>Købeloven</w:t>
      </w:r>
      <w:proofErr w:type="spellEnd"/>
      <w:r w:rsidRPr="005F0F2B">
        <w:rPr>
          <w:rFonts w:ascii="IBM Plex Sans" w:hAnsi="IBM Plex Sans"/>
          <w:color w:val="0D0D0D" w:themeColor="text1" w:themeTint="F2"/>
          <w:sz w:val="22"/>
          <w:szCs w:val="22"/>
          <w:lang w:val="en-US"/>
        </w:rPr>
        <w:t>), but the right to complain is not as advantageous to you as a product warranty. On the other hand, as the seller, you will be interested in limiting your liability for defects as much as possible.</w:t>
      </w:r>
    </w:p>
    <w:p w14:paraId="22E5B6F1"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8. Product liability</w:t>
      </w:r>
    </w:p>
    <w:p w14:paraId="61A7F924"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8.1: As the seller of a product, you are basically liable for any loss, damage and injury caused by the product to persons or property. This is what is called product liability. The extent to which you may limit your product liability as a seller in relation to the buyer varies from country to country. </w:t>
      </w:r>
    </w:p>
    <w:p w14:paraId="040DBFC3"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 8.2: As the buyer of a product, you want the seller to undertake to take out product liability insurance. In the absence of such insurance, you may end up having to pay compensation for any loss, damage or injury caused to third parties by a product.</w:t>
      </w:r>
    </w:p>
    <w:p w14:paraId="1E823B9D"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9. Patent infringement</w:t>
      </w:r>
    </w:p>
    <w:p w14:paraId="0535AA1D"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Clauses 9.1-9.5: It is important that the agreement determines who pays the costs if it turns out that a product infringes the rights of a third party, for example a patent, a design or a trademark. Such costs may take the form of compensation for a third party, fees for professional advisers and internal costs. As the seller, you are interested in limiting your liability as much as possible. As the buyer, you are interested in not being left to foot the whole bill alone and for your business to suffer as little as possible. If a product infringes third-party rights, the third party may, depending on the circumstances, be able to prevent you from selling the product.</w:t>
      </w:r>
    </w:p>
    <w:p w14:paraId="76CBD739"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10. Confidentiality</w:t>
      </w:r>
    </w:p>
    <w:p w14:paraId="050CAADC"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lastRenderedPageBreak/>
        <w:t>Clauses 10.1 and 10.2: Irrespective of the fact that the agreement contains provisions which are designed to limit the risk of your partner disclosing confidential information to a third party or abusing such confidential information, it is important that you do not disclose more confidential information to your business partner than strictly necessary.</w:t>
      </w:r>
    </w:p>
    <w:p w14:paraId="520364DB"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As soon as you disclose information, you lose control of what happens further with such information. It is also important that you mark all confidential information which you hand over to your business partner in physical form as 'CONFIDENTIAL' or in a similar fashion.</w:t>
      </w:r>
    </w:p>
    <w:p w14:paraId="67410278" w14:textId="77777777" w:rsidR="005F0F2B" w:rsidRPr="005F0F2B" w:rsidRDefault="005F0F2B" w:rsidP="005F0F2B">
      <w:pPr>
        <w:spacing w:before="100" w:beforeAutospacing="1" w:after="100" w:afterAutospacing="1" w:line="276" w:lineRule="auto"/>
        <w:ind w:left="-284"/>
        <w:rPr>
          <w:rFonts w:ascii="IBM Plex Sans" w:hAnsi="IBM Plex Sans" w:cs="Arial"/>
          <w:b/>
          <w:color w:val="0D0D0D" w:themeColor="text1" w:themeTint="F2"/>
          <w:sz w:val="22"/>
          <w:szCs w:val="22"/>
          <w:lang w:val="en-US"/>
        </w:rPr>
      </w:pPr>
      <w:r w:rsidRPr="005F0F2B">
        <w:rPr>
          <w:rFonts w:ascii="IBM Plex Sans" w:hAnsi="IBM Plex Sans"/>
          <w:b/>
          <w:color w:val="0D0D0D" w:themeColor="text1" w:themeTint="F2"/>
          <w:sz w:val="22"/>
          <w:szCs w:val="22"/>
          <w:lang w:val="en-US"/>
        </w:rPr>
        <w:t>11</w:t>
      </w:r>
      <w:r w:rsidRPr="005F0F2B">
        <w:rPr>
          <w:rFonts w:ascii="IBM Plex Sans" w:hAnsi="IBM Plex Sans"/>
          <w:color w:val="0D0D0D" w:themeColor="text1" w:themeTint="F2"/>
          <w:sz w:val="22"/>
          <w:szCs w:val="22"/>
          <w:lang w:val="en-US"/>
        </w:rPr>
        <w:t>.</w:t>
      </w:r>
      <w:r w:rsidRPr="005F0F2B">
        <w:rPr>
          <w:rFonts w:ascii="IBM Plex Sans" w:hAnsi="IBM Plex Sans" w:cs="Arial"/>
          <w:b/>
          <w:color w:val="0D0D0D" w:themeColor="text1" w:themeTint="F2"/>
          <w:sz w:val="22"/>
          <w:szCs w:val="22"/>
          <w:lang w:val="en-US"/>
        </w:rPr>
        <w:t xml:space="preserve"> Processing of personal data</w:t>
      </w:r>
    </w:p>
    <w:p w14:paraId="4408986D" w14:textId="77777777" w:rsidR="005F0F2B" w:rsidRPr="005F0F2B" w:rsidRDefault="005F0F2B" w:rsidP="005F0F2B">
      <w:pPr>
        <w:spacing w:before="100" w:beforeAutospacing="1" w:after="100" w:afterAutospacing="1" w:line="276" w:lineRule="auto"/>
        <w:ind w:left="-284"/>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Cause 11.1: You should consider which objective purposes the data is collected for and briefly elaborate on [the data subject], so that [the data subject] can predict what information is being processed and what it can be used for. </w:t>
      </w:r>
    </w:p>
    <w:p w14:paraId="18CC577B" w14:textId="77777777" w:rsidR="005F0F2B" w:rsidRPr="005F0F2B" w:rsidRDefault="005F0F2B" w:rsidP="005F0F2B">
      <w:pPr>
        <w:spacing w:before="100" w:beforeAutospacing="1" w:after="100" w:afterAutospacing="1" w:line="276" w:lineRule="auto"/>
        <w:ind w:left="-284"/>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Cause 11.4: Furthermore, we recommended that you provide contact details to which personal data inquiries must be sent. Such details can either be for a named person or for a mailbox set up by the company. If your company has a privacy policy on its website, referring to it is recommended.</w:t>
      </w:r>
    </w:p>
    <w:p w14:paraId="7244C0E7" w14:textId="77777777" w:rsidR="005F0F2B" w:rsidRPr="005F0F2B" w:rsidRDefault="005F0F2B" w:rsidP="005F0F2B">
      <w:pPr>
        <w:spacing w:before="100" w:beforeAutospacing="1" w:after="100" w:afterAutospacing="1" w:line="276" w:lineRule="auto"/>
        <w:ind w:left="-284"/>
        <w:rPr>
          <w:rFonts w:ascii="IBM Plex Sans" w:hAnsi="IBM Plex Sans" w:cs="Arial"/>
          <w:color w:val="0D0D0D" w:themeColor="text1" w:themeTint="F2"/>
          <w:sz w:val="22"/>
          <w:szCs w:val="22"/>
          <w:lang w:val="en-US"/>
        </w:rPr>
      </w:pPr>
      <w:r w:rsidRPr="005F0F2B">
        <w:rPr>
          <w:rFonts w:ascii="IBM Plex Sans" w:hAnsi="IBM Plex Sans" w:cs="Arial"/>
          <w:color w:val="0D0D0D" w:themeColor="text1" w:themeTint="F2"/>
          <w:sz w:val="22"/>
          <w:szCs w:val="22"/>
          <w:lang w:val="en-US"/>
        </w:rPr>
        <w:t xml:space="preserve">Cause 11.1-11.4: Please refer to the Data Inspectorate's website, </w:t>
      </w:r>
      <w:hyperlink r:id="rId23" w:history="1">
        <w:r w:rsidRPr="005F0F2B">
          <w:rPr>
            <w:rStyle w:val="Hyperlink"/>
            <w:rFonts w:ascii="IBM Plex Sans" w:hAnsi="IBM Plex Sans" w:cs="Arial"/>
            <w:color w:val="0D0D0D" w:themeColor="text1" w:themeTint="F2"/>
            <w:sz w:val="22"/>
            <w:szCs w:val="22"/>
            <w:lang w:val="en-US"/>
          </w:rPr>
          <w:t>www.datatilsynet.dk</w:t>
        </w:r>
      </w:hyperlink>
      <w:r w:rsidRPr="005F0F2B">
        <w:rPr>
          <w:rFonts w:ascii="IBM Plex Sans" w:hAnsi="IBM Plex Sans" w:cs="Arial"/>
          <w:color w:val="0D0D0D" w:themeColor="text1" w:themeTint="F2"/>
          <w:sz w:val="22"/>
          <w:szCs w:val="22"/>
          <w:lang w:val="en-US"/>
        </w:rPr>
        <w:t xml:space="preserve"> where there are both Danish and international guides to the rules on data protection. There are also templates for your use. If [the customer] has to process personal data on behalf of [the Company], a data processing agreement must be concluded pursuant to Article 28 of the Data Protection Regulation. You will find a guide to data controllers and data processors on the Data Inspectorate's website, as well as a template for a data processing agreement. </w:t>
      </w:r>
    </w:p>
    <w:p w14:paraId="1FBC03E7" w14:textId="77777777" w:rsidR="0066735A" w:rsidRDefault="0066735A" w:rsidP="005F0F2B">
      <w:pPr>
        <w:spacing w:before="100" w:beforeAutospacing="1" w:after="100" w:afterAutospacing="1" w:line="276" w:lineRule="auto"/>
        <w:ind w:left="-284"/>
        <w:outlineLvl w:val="2"/>
        <w:rPr>
          <w:rFonts w:ascii="IBM Plex Sans" w:hAnsi="IBM Plex Sans"/>
          <w:b/>
          <w:color w:val="0D0D0D" w:themeColor="text1" w:themeTint="F2"/>
          <w:sz w:val="22"/>
          <w:szCs w:val="22"/>
          <w:lang w:val="en-US"/>
        </w:rPr>
      </w:pPr>
    </w:p>
    <w:p w14:paraId="78023288" w14:textId="77777777" w:rsidR="0066735A" w:rsidRDefault="0066735A" w:rsidP="005F0F2B">
      <w:pPr>
        <w:spacing w:before="100" w:beforeAutospacing="1" w:after="100" w:afterAutospacing="1" w:line="276" w:lineRule="auto"/>
        <w:ind w:left="-284"/>
        <w:outlineLvl w:val="2"/>
        <w:rPr>
          <w:rFonts w:ascii="IBM Plex Sans" w:hAnsi="IBM Plex Sans"/>
          <w:b/>
          <w:color w:val="0D0D0D" w:themeColor="text1" w:themeTint="F2"/>
          <w:sz w:val="22"/>
          <w:szCs w:val="22"/>
          <w:lang w:val="en-US"/>
        </w:rPr>
      </w:pPr>
    </w:p>
    <w:p w14:paraId="45CC0599" w14:textId="0AEE6E18"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12. Limitation of liability</w:t>
      </w:r>
    </w:p>
    <w:p w14:paraId="3EFF9F8A"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12.1: According to the agreement, you and your business partner are not liable for any failure to fulfil the terms of the agreement if this is due to circumstances outside your control. This is what is called 'force majeure'. Examples of force majeure are, for example, war, flooding and fire. </w:t>
      </w:r>
    </w:p>
    <w:p w14:paraId="6F984C9E"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 12.2: As the seller, you want to limit your liability vis-à-vis the buyer for, for example, product defects or patent infringements. You can do so by stating in the agreement that your liability is limited to a certain amount.</w:t>
      </w:r>
    </w:p>
    <w:p w14:paraId="40C04149"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13. Term</w:t>
      </w:r>
    </w:p>
    <w:p w14:paraId="2A9558F9"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lastRenderedPageBreak/>
        <w:t xml:space="preserve">Clause 13.2: If you want to ensure that you can withdraw from the agreement whenever you need to, you must write this into the agreement. For example, it may be a good idea to state in the agreement that either party is entitled to terminate the agreement at any time subject to a certain notice period. However, the term of notice is not immaterial. As the buyer, you may be dependent on being able to sell the product to your customer for a certain period of time, and then you are obviously not interested in a very short term of notice. </w:t>
      </w:r>
    </w:p>
    <w:p w14:paraId="3E831EED"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Clause 13.3: If a party fails to meet his obligations under the agreement, it is a good idea if the agreement gives the other party the option of terminating the agreement at very short notice, for example if the seller repeatedly delays delivery or delivers poor-quality products.</w:t>
      </w:r>
    </w:p>
    <w:p w14:paraId="4746351A" w14:textId="77777777" w:rsidR="005F0F2B" w:rsidRPr="005F0F2B" w:rsidRDefault="005F0F2B" w:rsidP="005F0F2B">
      <w:pPr>
        <w:spacing w:before="100" w:beforeAutospacing="1" w:after="100" w:afterAutospacing="1" w:line="276" w:lineRule="auto"/>
        <w:ind w:left="-284"/>
        <w:outlineLvl w:val="2"/>
        <w:rPr>
          <w:rFonts w:ascii="IBM Plex Sans" w:hAnsi="IBM Plex Sans"/>
          <w:b/>
          <w:bCs/>
          <w:color w:val="0D0D0D" w:themeColor="text1" w:themeTint="F2"/>
          <w:sz w:val="22"/>
          <w:szCs w:val="22"/>
          <w:lang w:val="en-US"/>
        </w:rPr>
      </w:pPr>
      <w:r w:rsidRPr="005F0F2B">
        <w:rPr>
          <w:rFonts w:ascii="IBM Plex Sans" w:hAnsi="IBM Plex Sans"/>
          <w:b/>
          <w:color w:val="0D0D0D" w:themeColor="text1" w:themeTint="F2"/>
          <w:sz w:val="22"/>
          <w:szCs w:val="22"/>
          <w:lang w:val="en-US"/>
        </w:rPr>
        <w:t>14. Miscellaneous</w:t>
      </w:r>
    </w:p>
    <w:p w14:paraId="6B6FF977" w14:textId="77777777" w:rsidR="005F0F2B" w:rsidRPr="005F0F2B" w:rsidRDefault="005F0F2B" w:rsidP="005F0F2B">
      <w:pPr>
        <w:spacing w:before="100" w:beforeAutospacing="1" w:after="100" w:afterAutospacing="1" w:line="276" w:lineRule="auto"/>
        <w:ind w:left="-284"/>
        <w:rPr>
          <w:rFonts w:ascii="IBM Plex Sans" w:hAnsi="IBM Plex Sans"/>
          <w:color w:val="0D0D0D" w:themeColor="text1" w:themeTint="F2"/>
          <w:sz w:val="22"/>
          <w:szCs w:val="22"/>
          <w:lang w:val="en-US"/>
        </w:rPr>
      </w:pPr>
      <w:r w:rsidRPr="005F0F2B">
        <w:rPr>
          <w:rFonts w:ascii="IBM Plex Sans" w:hAnsi="IBM Plex Sans"/>
          <w:color w:val="0D0D0D" w:themeColor="text1" w:themeTint="F2"/>
          <w:sz w:val="22"/>
          <w:szCs w:val="22"/>
          <w:lang w:val="en-US"/>
        </w:rPr>
        <w:t xml:space="preserve">Clause 14.2: It must appear from the agreement which country's law is to apply in the event that a dispute arises which the seller and the buyer are unable to settle amicably. If both you and your business partner are owners of Danish companies, Danish law would be the natural choice. If your business partner’s company is not Danish, however, you might insist on Danish law, and your business partner on the law of the country of his company. In such a case, choosing a third country's law could be an option. </w:t>
      </w:r>
    </w:p>
    <w:p w14:paraId="41C22DF6" w14:textId="77777777" w:rsidR="005F0F2B" w:rsidRPr="005F0F2B" w:rsidRDefault="005F0F2B" w:rsidP="005F0F2B">
      <w:pPr>
        <w:pStyle w:val="Listeafsnit"/>
        <w:spacing w:line="276" w:lineRule="auto"/>
        <w:ind w:left="0"/>
        <w:rPr>
          <w:rFonts w:ascii="IBM Plex Sans" w:hAnsi="IBM Plex Sans"/>
          <w:b/>
          <w:color w:val="0D0D0D" w:themeColor="text1" w:themeTint="F2"/>
          <w:sz w:val="22"/>
          <w:szCs w:val="22"/>
          <w:lang w:val="en-GB"/>
        </w:rPr>
      </w:pPr>
    </w:p>
    <w:p w14:paraId="4B78A9E3" w14:textId="5CE580E5" w:rsidR="005F0F2B" w:rsidRPr="005F0F2B" w:rsidRDefault="005F0F2B" w:rsidP="005F0F2B">
      <w:pPr>
        <w:tabs>
          <w:tab w:val="left" w:pos="5430"/>
        </w:tabs>
        <w:spacing w:line="276" w:lineRule="auto"/>
        <w:rPr>
          <w:rFonts w:ascii="IBM Plex Sans" w:hAnsi="IBM Plex Sans" w:cs="Segoe UI"/>
          <w:color w:val="0D0D0D" w:themeColor="text1" w:themeTint="F2"/>
          <w:sz w:val="22"/>
          <w:szCs w:val="22"/>
          <w:lang w:val="en-GB"/>
        </w:rPr>
      </w:pPr>
    </w:p>
    <w:sectPr w:rsidR="005F0F2B" w:rsidRPr="005F0F2B"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8B48E" w14:textId="77777777" w:rsidR="00DB007E" w:rsidRDefault="00DB007E" w:rsidP="00226AF2">
      <w:r>
        <w:separator/>
      </w:r>
    </w:p>
  </w:endnote>
  <w:endnote w:type="continuationSeparator" w:id="0">
    <w:p w14:paraId="6C20F294" w14:textId="77777777" w:rsidR="00DB007E" w:rsidRDefault="00DB007E"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BM Plex Sans">
    <w:altName w:val="Calibri"/>
    <w:panose1 w:val="020B0503050203000203"/>
    <w:charset w:val="00"/>
    <w:family w:val="swiss"/>
    <w:notTrueType/>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6F102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6F1025">
        <w:pPr>
          <w:pStyle w:val="Sidefod"/>
          <w:jc w:val="center"/>
        </w:pPr>
      </w:p>
    </w:sdtContent>
  </w:sdt>
  <w:p w14:paraId="043CF29C" w14:textId="77777777" w:rsidR="00E9319B" w:rsidRDefault="006F102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71F7D" w14:textId="77777777" w:rsidR="00DB007E" w:rsidRDefault="00DB007E" w:rsidP="00226AF2">
      <w:r>
        <w:separator/>
      </w:r>
    </w:p>
  </w:footnote>
  <w:footnote w:type="continuationSeparator" w:id="0">
    <w:p w14:paraId="42CA2027" w14:textId="77777777" w:rsidR="00DB007E" w:rsidRDefault="00DB007E"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5647"/>
    <w:multiLevelType w:val="hybridMultilevel"/>
    <w:tmpl w:val="86887CC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C76B68"/>
    <w:multiLevelType w:val="hybridMultilevel"/>
    <w:tmpl w:val="392CBB1E"/>
    <w:lvl w:ilvl="0" w:tplc="065C504E">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FFD5B25"/>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7"/>
  </w:num>
  <w:num w:numId="4">
    <w:abstractNumId w:val="3"/>
  </w:num>
  <w:num w:numId="5">
    <w:abstractNumId w:val="4"/>
  </w:num>
  <w:num w:numId="6">
    <w:abstractNumId w:val="8"/>
  </w:num>
  <w:num w:numId="7">
    <w:abstractNumId w:val="9"/>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85C1A"/>
    <w:rsid w:val="001F6170"/>
    <w:rsid w:val="002105F4"/>
    <w:rsid w:val="00226AF2"/>
    <w:rsid w:val="003322AB"/>
    <w:rsid w:val="00337289"/>
    <w:rsid w:val="00412335"/>
    <w:rsid w:val="00412535"/>
    <w:rsid w:val="004D3489"/>
    <w:rsid w:val="0050719D"/>
    <w:rsid w:val="0052198C"/>
    <w:rsid w:val="00535490"/>
    <w:rsid w:val="00546FFD"/>
    <w:rsid w:val="00550961"/>
    <w:rsid w:val="005C15DC"/>
    <w:rsid w:val="005F0F2B"/>
    <w:rsid w:val="00615374"/>
    <w:rsid w:val="00663BCA"/>
    <w:rsid w:val="0066735A"/>
    <w:rsid w:val="006F1025"/>
    <w:rsid w:val="00790D4C"/>
    <w:rsid w:val="007E7D24"/>
    <w:rsid w:val="00802174"/>
    <w:rsid w:val="008C64A5"/>
    <w:rsid w:val="0092623A"/>
    <w:rsid w:val="00A027E9"/>
    <w:rsid w:val="00A3502C"/>
    <w:rsid w:val="00A813C1"/>
    <w:rsid w:val="00A9539E"/>
    <w:rsid w:val="00B0561F"/>
    <w:rsid w:val="00BA154F"/>
    <w:rsid w:val="00CE4882"/>
    <w:rsid w:val="00D23C46"/>
    <w:rsid w:val="00D5313B"/>
    <w:rsid w:val="00DB007E"/>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AF2"/>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styleId="Hyperlink">
    <w:name w:val="Hyperlink"/>
    <w:basedOn w:val="Standardskrifttypeiafsnit"/>
    <w:uiPriority w:val="99"/>
    <w:unhideWhenUsed/>
    <w:rsid w:val="005F0F2B"/>
    <w:rPr>
      <w:color w:val="0000FF" w:themeColor="hyperlink"/>
      <w:u w:val="single"/>
    </w:rPr>
  </w:style>
  <w:style w:type="character" w:styleId="Fremhv">
    <w:name w:val="Emphasis"/>
    <w:basedOn w:val="Standardskrifttypeiafsnit"/>
    <w:uiPriority w:val="20"/>
    <w:qFormat/>
    <w:rsid w:val="005F0F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tartvaekst.dk/link/4135/link"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atatilsynet.d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datatilsynet.dk" TargetMode="External"/><Relationship Id="rId10" Type="http://schemas.openxmlformats.org/officeDocument/2006/relationships/footnotes" Target="footnotes.xml"/><Relationship Id="rId19" Type="http://schemas.openxmlformats.org/officeDocument/2006/relationships/hyperlink" Target="http://www.iccwbo.org/incoter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iccwbo.org/incoterm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47C44C45-99ED-4DD2-A0D8-1973ECF4152B}"/>
      </w:docPartPr>
      <w:docPartBody>
        <w:p w:rsidR="00667351" w:rsidRDefault="0054680C">
          <w:r w:rsidRPr="00FD5BE1">
            <w:rPr>
              <w:rStyle w:val="Pladsholdertekst"/>
            </w:rPr>
            <w:t>Click or tap here to enter text.</w:t>
          </w:r>
        </w:p>
      </w:docPartBody>
    </w:docPart>
    <w:docPart>
      <w:docPartPr>
        <w:name w:val="33AA49C4C7E845B0B03863D121F0E8F3"/>
        <w:category>
          <w:name w:val="General"/>
          <w:gallery w:val="placeholder"/>
        </w:category>
        <w:types>
          <w:type w:val="bbPlcHdr"/>
        </w:types>
        <w:behaviors>
          <w:behavior w:val="content"/>
        </w:behaviors>
        <w:guid w:val="{6862F8DD-C95E-4ACA-B035-EB434E8B00B2}"/>
      </w:docPartPr>
      <w:docPartBody>
        <w:p w:rsidR="00667351" w:rsidRDefault="0054680C" w:rsidP="0054680C">
          <w:pPr>
            <w:pStyle w:val="33AA49C4C7E845B0B03863D121F0E8F3"/>
          </w:pPr>
          <w:r w:rsidRPr="00FD5BE1">
            <w:rPr>
              <w:rStyle w:val="Pladsholdertekst"/>
            </w:rPr>
            <w:t>Click or tap here to enter text.</w:t>
          </w:r>
        </w:p>
      </w:docPartBody>
    </w:docPart>
    <w:docPart>
      <w:docPartPr>
        <w:name w:val="6FA9D8C75F234AF593582CD34353303A"/>
        <w:category>
          <w:name w:val="General"/>
          <w:gallery w:val="placeholder"/>
        </w:category>
        <w:types>
          <w:type w:val="bbPlcHdr"/>
        </w:types>
        <w:behaviors>
          <w:behavior w:val="content"/>
        </w:behaviors>
        <w:guid w:val="{8336D196-1794-40A9-86C4-41EDEAA6FAF3}"/>
      </w:docPartPr>
      <w:docPartBody>
        <w:p w:rsidR="00667351" w:rsidRDefault="0054680C" w:rsidP="0054680C">
          <w:pPr>
            <w:pStyle w:val="6FA9D8C75F234AF593582CD34353303A"/>
          </w:pPr>
          <w:r w:rsidRPr="00FD5BE1">
            <w:rPr>
              <w:rStyle w:val="Pladsholdertekst"/>
            </w:rPr>
            <w:t>Click or tap here to enter text.</w:t>
          </w:r>
        </w:p>
      </w:docPartBody>
    </w:docPart>
    <w:docPart>
      <w:docPartPr>
        <w:name w:val="FEEFDC6FBFCF4A788F9FB148F2007F6D"/>
        <w:category>
          <w:name w:val="General"/>
          <w:gallery w:val="placeholder"/>
        </w:category>
        <w:types>
          <w:type w:val="bbPlcHdr"/>
        </w:types>
        <w:behaviors>
          <w:behavior w:val="content"/>
        </w:behaviors>
        <w:guid w:val="{9D7DBE3C-6216-4C37-A6AE-130076090FDE}"/>
      </w:docPartPr>
      <w:docPartBody>
        <w:p w:rsidR="00667351" w:rsidRDefault="0054680C" w:rsidP="0054680C">
          <w:pPr>
            <w:pStyle w:val="FEEFDC6FBFCF4A788F9FB148F2007F6D"/>
          </w:pPr>
          <w:r w:rsidRPr="00FD5BE1">
            <w:rPr>
              <w:rStyle w:val="Pladsholdertekst"/>
            </w:rPr>
            <w:t>Click or tap here to enter text.</w:t>
          </w:r>
        </w:p>
      </w:docPartBody>
    </w:docPart>
    <w:docPart>
      <w:docPartPr>
        <w:name w:val="CA7F386EBD4E4A9CA605625D8120A7B2"/>
        <w:category>
          <w:name w:val="General"/>
          <w:gallery w:val="placeholder"/>
        </w:category>
        <w:types>
          <w:type w:val="bbPlcHdr"/>
        </w:types>
        <w:behaviors>
          <w:behavior w:val="content"/>
        </w:behaviors>
        <w:guid w:val="{D9ECE4DA-5BD7-4AB7-B1CF-A362D1A708DB}"/>
      </w:docPartPr>
      <w:docPartBody>
        <w:p w:rsidR="00667351" w:rsidRDefault="0054680C" w:rsidP="0054680C">
          <w:pPr>
            <w:pStyle w:val="CA7F386EBD4E4A9CA605625D8120A7B2"/>
          </w:pPr>
          <w:r w:rsidRPr="00FD5BE1">
            <w:rPr>
              <w:rStyle w:val="Pladsholdertekst"/>
            </w:rPr>
            <w:t>Click or tap here to enter text.</w:t>
          </w:r>
        </w:p>
      </w:docPartBody>
    </w:docPart>
    <w:docPart>
      <w:docPartPr>
        <w:name w:val="E0628FF31DDA41BD823D6E22F8746491"/>
        <w:category>
          <w:name w:val="General"/>
          <w:gallery w:val="placeholder"/>
        </w:category>
        <w:types>
          <w:type w:val="bbPlcHdr"/>
        </w:types>
        <w:behaviors>
          <w:behavior w:val="content"/>
        </w:behaviors>
        <w:guid w:val="{3BCB2E80-E48B-4B23-9283-4EFF7A753E9F}"/>
      </w:docPartPr>
      <w:docPartBody>
        <w:p w:rsidR="00667351" w:rsidRDefault="0054680C" w:rsidP="0054680C">
          <w:pPr>
            <w:pStyle w:val="E0628FF31DDA41BD823D6E22F8746491"/>
          </w:pPr>
          <w:r w:rsidRPr="00FD5BE1">
            <w:rPr>
              <w:rStyle w:val="Pladsholdertekst"/>
            </w:rPr>
            <w:t>Click or tap here to enter text.</w:t>
          </w:r>
        </w:p>
      </w:docPartBody>
    </w:docPart>
    <w:docPart>
      <w:docPartPr>
        <w:name w:val="4812AF335DDC44A48191FF5F96051ED9"/>
        <w:category>
          <w:name w:val="General"/>
          <w:gallery w:val="placeholder"/>
        </w:category>
        <w:types>
          <w:type w:val="bbPlcHdr"/>
        </w:types>
        <w:behaviors>
          <w:behavior w:val="content"/>
        </w:behaviors>
        <w:guid w:val="{A8593B5D-FF4E-4831-ADD6-9932F9499CF0}"/>
      </w:docPartPr>
      <w:docPartBody>
        <w:p w:rsidR="00667351" w:rsidRDefault="0054680C" w:rsidP="0054680C">
          <w:pPr>
            <w:pStyle w:val="4812AF335DDC44A48191FF5F96051ED9"/>
          </w:pPr>
          <w:r w:rsidRPr="00FD5BE1">
            <w:rPr>
              <w:rStyle w:val="Pladsholdertekst"/>
            </w:rPr>
            <w:t>Click or tap here to enter text.</w:t>
          </w:r>
        </w:p>
      </w:docPartBody>
    </w:docPart>
    <w:docPart>
      <w:docPartPr>
        <w:name w:val="F32FC9C042F44862A491EEE6E15EEF91"/>
        <w:category>
          <w:name w:val="General"/>
          <w:gallery w:val="placeholder"/>
        </w:category>
        <w:types>
          <w:type w:val="bbPlcHdr"/>
        </w:types>
        <w:behaviors>
          <w:behavior w:val="content"/>
        </w:behaviors>
        <w:guid w:val="{2E3D762E-AE5D-43C9-8843-F165B5086450}"/>
      </w:docPartPr>
      <w:docPartBody>
        <w:p w:rsidR="00667351" w:rsidRDefault="0054680C" w:rsidP="0054680C">
          <w:pPr>
            <w:pStyle w:val="F32FC9C042F44862A491EEE6E15EEF91"/>
          </w:pPr>
          <w:r w:rsidRPr="00FD5BE1">
            <w:rPr>
              <w:rStyle w:val="Pladsholdertekst"/>
            </w:rPr>
            <w:t>Click or tap here to enter text.</w:t>
          </w:r>
        </w:p>
      </w:docPartBody>
    </w:docPart>
    <w:docPart>
      <w:docPartPr>
        <w:name w:val="ACC5F91CD2D548459B6BBAA4A52B1278"/>
        <w:category>
          <w:name w:val="General"/>
          <w:gallery w:val="placeholder"/>
        </w:category>
        <w:types>
          <w:type w:val="bbPlcHdr"/>
        </w:types>
        <w:behaviors>
          <w:behavior w:val="content"/>
        </w:behaviors>
        <w:guid w:val="{1D7B148C-D33B-48F6-9801-9CC3C488382A}"/>
      </w:docPartPr>
      <w:docPartBody>
        <w:p w:rsidR="00667351" w:rsidRDefault="0054680C" w:rsidP="0054680C">
          <w:pPr>
            <w:pStyle w:val="ACC5F91CD2D548459B6BBAA4A52B1278"/>
          </w:pPr>
          <w:r w:rsidRPr="00FD5BE1">
            <w:rPr>
              <w:rStyle w:val="Pladsholdertekst"/>
            </w:rPr>
            <w:t>Click or tap here to enter text.</w:t>
          </w:r>
        </w:p>
      </w:docPartBody>
    </w:docPart>
    <w:docPart>
      <w:docPartPr>
        <w:name w:val="A8CE5E7D81FE4E6FACAF9BAC7D0A0881"/>
        <w:category>
          <w:name w:val="General"/>
          <w:gallery w:val="placeholder"/>
        </w:category>
        <w:types>
          <w:type w:val="bbPlcHdr"/>
        </w:types>
        <w:behaviors>
          <w:behavior w:val="content"/>
        </w:behaviors>
        <w:guid w:val="{A40B5558-361D-461A-941C-D5F70B582E96}"/>
      </w:docPartPr>
      <w:docPartBody>
        <w:p w:rsidR="00667351" w:rsidRDefault="0054680C" w:rsidP="0054680C">
          <w:pPr>
            <w:pStyle w:val="A8CE5E7D81FE4E6FACAF9BAC7D0A0881"/>
          </w:pPr>
          <w:r w:rsidRPr="00FD5BE1">
            <w:rPr>
              <w:rStyle w:val="Pladsholdertekst"/>
            </w:rPr>
            <w:t>Click or tap here to enter text.</w:t>
          </w:r>
        </w:p>
      </w:docPartBody>
    </w:docPart>
    <w:docPart>
      <w:docPartPr>
        <w:name w:val="F3839E5198624A8EBBC2AA8F49C493E9"/>
        <w:category>
          <w:name w:val="General"/>
          <w:gallery w:val="placeholder"/>
        </w:category>
        <w:types>
          <w:type w:val="bbPlcHdr"/>
        </w:types>
        <w:behaviors>
          <w:behavior w:val="content"/>
        </w:behaviors>
        <w:guid w:val="{A048D74F-644D-4E83-A5D7-0E49C2ED7E83}"/>
      </w:docPartPr>
      <w:docPartBody>
        <w:p w:rsidR="00667351" w:rsidRDefault="0054680C" w:rsidP="0054680C">
          <w:pPr>
            <w:pStyle w:val="F3839E5198624A8EBBC2AA8F49C493E9"/>
          </w:pPr>
          <w:r w:rsidRPr="00FD5BE1">
            <w:rPr>
              <w:rStyle w:val="Pladsholdertekst"/>
            </w:rPr>
            <w:t>Click or tap here to enter text.</w:t>
          </w:r>
        </w:p>
      </w:docPartBody>
    </w:docPart>
    <w:docPart>
      <w:docPartPr>
        <w:name w:val="6744446D43E34FF99E78DEECF6F85ED2"/>
        <w:category>
          <w:name w:val="General"/>
          <w:gallery w:val="placeholder"/>
        </w:category>
        <w:types>
          <w:type w:val="bbPlcHdr"/>
        </w:types>
        <w:behaviors>
          <w:behavior w:val="content"/>
        </w:behaviors>
        <w:guid w:val="{EB3297D2-50B5-46C3-B1B7-3F491BA44DA6}"/>
      </w:docPartPr>
      <w:docPartBody>
        <w:p w:rsidR="00667351" w:rsidRDefault="0054680C" w:rsidP="0054680C">
          <w:pPr>
            <w:pStyle w:val="6744446D43E34FF99E78DEECF6F85ED2"/>
          </w:pPr>
          <w:r w:rsidRPr="00FD5BE1">
            <w:rPr>
              <w:rStyle w:val="Pladsholdertekst"/>
            </w:rPr>
            <w:t>Click or tap here to enter text.</w:t>
          </w:r>
        </w:p>
      </w:docPartBody>
    </w:docPart>
    <w:docPart>
      <w:docPartPr>
        <w:name w:val="A3520C64918F4D208627CB2F426BF8ED"/>
        <w:category>
          <w:name w:val="General"/>
          <w:gallery w:val="placeholder"/>
        </w:category>
        <w:types>
          <w:type w:val="bbPlcHdr"/>
        </w:types>
        <w:behaviors>
          <w:behavior w:val="content"/>
        </w:behaviors>
        <w:guid w:val="{6E104350-B489-4BEC-A916-24829799CAD2}"/>
      </w:docPartPr>
      <w:docPartBody>
        <w:p w:rsidR="00667351" w:rsidRDefault="0054680C" w:rsidP="0054680C">
          <w:pPr>
            <w:pStyle w:val="A3520C64918F4D208627CB2F426BF8ED"/>
          </w:pPr>
          <w:r w:rsidRPr="00FD5BE1">
            <w:rPr>
              <w:rStyle w:val="Pladsholdertekst"/>
            </w:rPr>
            <w:t>Click or tap here to enter text.</w:t>
          </w:r>
        </w:p>
      </w:docPartBody>
    </w:docPart>
    <w:docPart>
      <w:docPartPr>
        <w:name w:val="4A1A6190B57C4E09B812D80C3F31C0E1"/>
        <w:category>
          <w:name w:val="General"/>
          <w:gallery w:val="placeholder"/>
        </w:category>
        <w:types>
          <w:type w:val="bbPlcHdr"/>
        </w:types>
        <w:behaviors>
          <w:behavior w:val="content"/>
        </w:behaviors>
        <w:guid w:val="{B6A5F78B-F60E-4438-A85D-9F13D37CC69D}"/>
      </w:docPartPr>
      <w:docPartBody>
        <w:p w:rsidR="00667351" w:rsidRDefault="0054680C" w:rsidP="0054680C">
          <w:pPr>
            <w:pStyle w:val="4A1A6190B57C4E09B812D80C3F31C0E1"/>
          </w:pPr>
          <w:r w:rsidRPr="00FD5BE1">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BM Plex Sans">
    <w:altName w:val="Calibri"/>
    <w:panose1 w:val="020B0503050203000203"/>
    <w:charset w:val="00"/>
    <w:family w:val="swiss"/>
    <w:notTrueType/>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92988"/>
    <w:rsid w:val="0054680C"/>
    <w:rsid w:val="005C1427"/>
    <w:rsid w:val="00667351"/>
    <w:rsid w:val="006F32A4"/>
    <w:rsid w:val="00700BC8"/>
    <w:rsid w:val="00830A95"/>
    <w:rsid w:val="00881EFF"/>
    <w:rsid w:val="008B64A8"/>
    <w:rsid w:val="008C2B30"/>
    <w:rsid w:val="0096353D"/>
    <w:rsid w:val="00990436"/>
    <w:rsid w:val="009A22FC"/>
    <w:rsid w:val="00C235A9"/>
    <w:rsid w:val="00EE34A2"/>
    <w:rsid w:val="00EF3D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4680C"/>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33AA49C4C7E845B0B03863D121F0E8F3">
    <w:name w:val="33AA49C4C7E845B0B03863D121F0E8F3"/>
    <w:rsid w:val="0054680C"/>
  </w:style>
  <w:style w:type="paragraph" w:customStyle="1" w:styleId="6FA9D8C75F234AF593582CD34353303A">
    <w:name w:val="6FA9D8C75F234AF593582CD34353303A"/>
    <w:rsid w:val="0054680C"/>
  </w:style>
  <w:style w:type="paragraph" w:customStyle="1" w:styleId="FEEFDC6FBFCF4A788F9FB148F2007F6D">
    <w:name w:val="FEEFDC6FBFCF4A788F9FB148F2007F6D"/>
    <w:rsid w:val="0054680C"/>
  </w:style>
  <w:style w:type="paragraph" w:customStyle="1" w:styleId="CA7F386EBD4E4A9CA605625D8120A7B2">
    <w:name w:val="CA7F386EBD4E4A9CA605625D8120A7B2"/>
    <w:rsid w:val="0054680C"/>
  </w:style>
  <w:style w:type="paragraph" w:customStyle="1" w:styleId="E0628FF31DDA41BD823D6E22F8746491">
    <w:name w:val="E0628FF31DDA41BD823D6E22F8746491"/>
    <w:rsid w:val="0054680C"/>
  </w:style>
  <w:style w:type="paragraph" w:customStyle="1" w:styleId="4812AF335DDC44A48191FF5F96051ED9">
    <w:name w:val="4812AF335DDC44A48191FF5F96051ED9"/>
    <w:rsid w:val="0054680C"/>
  </w:style>
  <w:style w:type="paragraph" w:customStyle="1" w:styleId="F32FC9C042F44862A491EEE6E15EEF91">
    <w:name w:val="F32FC9C042F44862A491EEE6E15EEF91"/>
    <w:rsid w:val="0054680C"/>
  </w:style>
  <w:style w:type="paragraph" w:customStyle="1" w:styleId="ACC5F91CD2D548459B6BBAA4A52B1278">
    <w:name w:val="ACC5F91CD2D548459B6BBAA4A52B1278"/>
    <w:rsid w:val="0054680C"/>
  </w:style>
  <w:style w:type="paragraph" w:customStyle="1" w:styleId="A8CE5E7D81FE4E6FACAF9BAC7D0A0881">
    <w:name w:val="A8CE5E7D81FE4E6FACAF9BAC7D0A0881"/>
    <w:rsid w:val="0054680C"/>
  </w:style>
  <w:style w:type="paragraph" w:customStyle="1" w:styleId="F3839E5198624A8EBBC2AA8F49C493E9">
    <w:name w:val="F3839E5198624A8EBBC2AA8F49C493E9"/>
    <w:rsid w:val="0054680C"/>
  </w:style>
  <w:style w:type="paragraph" w:customStyle="1" w:styleId="6744446D43E34FF99E78DEECF6F85ED2">
    <w:name w:val="6744446D43E34FF99E78DEECF6F85ED2"/>
    <w:rsid w:val="0054680C"/>
  </w:style>
  <w:style w:type="paragraph" w:customStyle="1" w:styleId="A3520C64918F4D208627CB2F426BF8ED">
    <w:name w:val="A3520C64918F4D208627CB2F426BF8ED"/>
    <w:rsid w:val="0054680C"/>
  </w:style>
  <w:style w:type="paragraph" w:customStyle="1" w:styleId="4A1A6190B57C4E09B812D80C3F31C0E1">
    <w:name w:val="4A1A6190B57C4E09B812D80C3F31C0E1"/>
    <w:rsid w:val="00546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EAEXP2DD475P-1149199250-4368501</_dlc_DocId>
    <_dlc_DocIdUrl xmlns="8f557624-d6a7-40e5-a06f-ebe44359847b">
      <Url>https://erstdk.sharepoint.com/teams/share/_layouts/15/DocIdRedir.aspx?ID=EAEXP2DD475P-1149199250-4368501</Url>
      <Description>EAEXP2DD475P-1149199250-4368501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E50A7-2DC2-4621-B51A-4EB4BA07E284}">
  <ds:schemaRefs>
    <ds:schemaRef ds:uri="http://schemas.microsoft.com/sharepoint/v3/contenttype/forms"/>
  </ds:schemaRefs>
</ds:datastoreItem>
</file>

<file path=customXml/itemProps2.xml><?xml version="1.0" encoding="utf-8"?>
<ds:datastoreItem xmlns:ds="http://schemas.openxmlformats.org/officeDocument/2006/customXml" ds:itemID="{8BE9DA23-5659-4123-9083-2AA2017DFD03}">
  <ds:schemaRefs>
    <ds:schemaRef ds:uri="http://schemas.microsoft.com/sharepoint/events"/>
  </ds:schemaRefs>
</ds:datastoreItem>
</file>

<file path=customXml/itemProps3.xml><?xml version="1.0" encoding="utf-8"?>
<ds:datastoreItem xmlns:ds="http://schemas.openxmlformats.org/officeDocument/2006/customXml" ds:itemID="{5869141C-7950-44F5-8064-E502F83C8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89252-52C2-4ECD-A28F-271A031DA2F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ba3c0d19-9a85-4c97-b951-b8742efd782e"/>
    <ds:schemaRef ds:uri="http://schemas.microsoft.com/office/infopath/2007/PartnerControls"/>
    <ds:schemaRef ds:uri="8f557624-d6a7-40e5-a06f-ebe44359847b"/>
    <ds:schemaRef ds:uri="http://www.w3.org/XML/1998/namespace"/>
    <ds:schemaRef ds:uri="http://purl.org/dc/terms/"/>
  </ds:schemaRefs>
</ds:datastoreItem>
</file>

<file path=customXml/itemProps5.xml><?xml version="1.0" encoding="utf-8"?>
<ds:datastoreItem xmlns:ds="http://schemas.openxmlformats.org/officeDocument/2006/customXml" ds:itemID="{B72953BF-2697-408F-9426-5BEC43D8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16</Pages>
  <Words>4984</Words>
  <Characters>26338</Characters>
  <Application>Microsoft Office Word</Application>
  <DocSecurity>0</DocSecurity>
  <Lines>219</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Munkholm</dc:creator>
  <cp:keywords/>
  <dc:description/>
  <cp:lastModifiedBy>Maria Baden Fischer</cp:lastModifiedBy>
  <cp:revision>5</cp:revision>
  <cp:lastPrinted>2019-05-29T08:33:00Z</cp:lastPrinted>
  <dcterms:created xsi:type="dcterms:W3CDTF">2019-07-02T08:14:00Z</dcterms:created>
  <dcterms:modified xsi:type="dcterms:W3CDTF">2019-07-03T08:40:00Z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6e092f6d-68c1-4e73-962c-73c6c4514110</vt:lpwstr>
  </property>
</Properties>
</file>