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1B5C4C" w14:textId="77777777" w:rsidR="00226AF2" w:rsidRPr="00F47BAC" w:rsidRDefault="00226AF2" w:rsidP="00C72745">
      <w:pPr>
        <w:spacing w:line="276" w:lineRule="auto"/>
        <w:ind w:firstLine="1304"/>
        <w:rPr>
          <w:rFonts w:ascii="IBM Plex Sans" w:hAnsi="IBM Plex Sans" w:cs="Segoe UI"/>
          <w:sz w:val="52"/>
          <w:szCs w:val="52"/>
        </w:rPr>
      </w:pPr>
    </w:p>
    <w:p w14:paraId="7CB0C385" w14:textId="77777777" w:rsidR="00226AF2" w:rsidRPr="00F47BAC" w:rsidRDefault="00550961" w:rsidP="00C72745">
      <w:pPr>
        <w:spacing w:line="276" w:lineRule="auto"/>
        <w:ind w:firstLine="1304"/>
        <w:rPr>
          <w:rFonts w:ascii="IBM Plex Sans" w:hAnsi="IBM Plex Sans" w:cs="Segoe UI"/>
          <w:sz w:val="52"/>
          <w:szCs w:val="52"/>
        </w:rPr>
      </w:pPr>
      <w:r w:rsidRPr="00F47BAC">
        <w:rPr>
          <w:rFonts w:ascii="IBM Plex Sans" w:hAnsi="IBM Plex Sans" w:cs="Segoe UI"/>
          <w:noProof/>
          <w:sz w:val="52"/>
          <w:szCs w:val="52"/>
        </w:rPr>
        <w:drawing>
          <wp:inline distT="0" distB="0" distL="0" distR="0" wp14:anchorId="66BB1E1A" wp14:editId="337EC175">
            <wp:extent cx="4248150" cy="47625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48150" cy="476250"/>
                    </a:xfrm>
                    <a:prstGeom prst="rect">
                      <a:avLst/>
                    </a:prstGeom>
                    <a:noFill/>
                    <a:ln>
                      <a:noFill/>
                    </a:ln>
                  </pic:spPr>
                </pic:pic>
              </a:graphicData>
            </a:graphic>
          </wp:inline>
        </w:drawing>
      </w:r>
    </w:p>
    <w:p w14:paraId="2449C572" w14:textId="588BEC01" w:rsidR="00226AF2" w:rsidRPr="00F47BAC" w:rsidRDefault="00C72745" w:rsidP="00C72745">
      <w:pPr>
        <w:spacing w:line="276" w:lineRule="auto"/>
        <w:ind w:firstLine="1304"/>
        <w:rPr>
          <w:rFonts w:ascii="IBM Plex Sans" w:hAnsi="IBM Plex Sans" w:cs="Segoe UI"/>
          <w:sz w:val="52"/>
          <w:szCs w:val="52"/>
        </w:rPr>
      </w:pPr>
      <w:r>
        <w:rPr>
          <w:rFonts w:ascii="IBM Plex Sans" w:hAnsi="IBM Plex Sans" w:cs="Segoe UI"/>
          <w:sz w:val="52"/>
          <w:szCs w:val="52"/>
        </w:rPr>
        <w:t>Licensaftale</w:t>
      </w:r>
    </w:p>
    <w:p w14:paraId="3D287145" w14:textId="77777777" w:rsidR="007E7D24" w:rsidRPr="00F47BAC" w:rsidRDefault="00E54439" w:rsidP="00C72745">
      <w:pPr>
        <w:spacing w:line="276" w:lineRule="auto"/>
        <w:ind w:firstLine="1304"/>
        <w:rPr>
          <w:rFonts w:ascii="IBM Plex Sans" w:hAnsi="IBM Plex Sans" w:cs="Segoe UI"/>
          <w:sz w:val="52"/>
          <w:szCs w:val="52"/>
        </w:rPr>
      </w:pPr>
      <w:sdt>
        <w:sdtPr>
          <w:rPr>
            <w:rFonts w:ascii="IBM Plex Sans" w:hAnsi="IBM Plex Sans" w:cs="Segoe UI"/>
            <w:sz w:val="52"/>
            <w:szCs w:val="52"/>
          </w:rPr>
          <w:id w:val="1146554769"/>
          <w:placeholder>
            <w:docPart w:val="46D2AF75EEA84E8F94645BD5EBB0DDCD"/>
          </w:placeholder>
          <w:showingPlcHdr/>
        </w:sdtPr>
        <w:sdtEndPr/>
        <w:sdtContent>
          <w:r w:rsidR="007E7D24" w:rsidRPr="00F47BAC">
            <w:rPr>
              <w:rFonts w:ascii="IBM Plex Sans" w:hAnsi="IBM Plex Sans" w:cs="Segoe UI"/>
              <w:b/>
              <w:sz w:val="52"/>
              <w:szCs w:val="52"/>
              <w:highlight w:val="lightGray"/>
            </w:rPr>
            <w:t>Firmanavn</w:t>
          </w:r>
        </w:sdtContent>
      </w:sdt>
    </w:p>
    <w:p w14:paraId="538E2926" w14:textId="77777777" w:rsidR="00226AF2" w:rsidRPr="00F47BAC" w:rsidRDefault="00226AF2" w:rsidP="00C72745">
      <w:pPr>
        <w:spacing w:line="276" w:lineRule="auto"/>
        <w:rPr>
          <w:rFonts w:ascii="IBM Plex Sans" w:hAnsi="IBM Plex Sans" w:cs="Segoe UI"/>
          <w:b/>
          <w:sz w:val="52"/>
          <w:szCs w:val="52"/>
        </w:rPr>
        <w:sectPr w:rsidR="00226AF2" w:rsidRPr="00F47BAC" w:rsidSect="00E9319B">
          <w:headerReference w:type="default" r:id="rId8"/>
          <w:footerReference w:type="default" r:id="rId9"/>
          <w:footerReference w:type="first" r:id="rId10"/>
          <w:type w:val="nextColumn"/>
          <w:pgSz w:w="11907" w:h="16840" w:code="9"/>
          <w:pgMar w:top="1134" w:right="1361" w:bottom="1134" w:left="1361" w:header="709" w:footer="709" w:gutter="0"/>
          <w:cols w:space="708"/>
          <w:vAlign w:val="center"/>
          <w:titlePg/>
          <w:docGrid w:linePitch="326"/>
        </w:sectPr>
      </w:pPr>
    </w:p>
    <w:p w14:paraId="0FCD82C8" w14:textId="5A978693" w:rsidR="00226AF2" w:rsidRPr="00F47BAC" w:rsidRDefault="00226AF2" w:rsidP="00C72745">
      <w:pPr>
        <w:spacing w:line="276" w:lineRule="auto"/>
        <w:rPr>
          <w:rFonts w:ascii="IBM Plex Sans" w:hAnsi="IBM Plex Sans" w:cs="Segoe UI"/>
          <w:sz w:val="22"/>
          <w:szCs w:val="22"/>
        </w:rPr>
      </w:pPr>
    </w:p>
    <w:p w14:paraId="5A4C9184" w14:textId="5B9EB2C0" w:rsidR="00226AF2" w:rsidRPr="00F47BAC" w:rsidRDefault="00412335" w:rsidP="00C72745">
      <w:pPr>
        <w:spacing w:line="276" w:lineRule="auto"/>
        <w:rPr>
          <w:rFonts w:ascii="IBM Plex Sans" w:hAnsi="IBM Plex Sans" w:cs="Segoe UI"/>
          <w:sz w:val="22"/>
          <w:szCs w:val="22"/>
        </w:rPr>
      </w:pPr>
      <w:r w:rsidRPr="00F47BAC">
        <w:rPr>
          <w:rFonts w:ascii="IBM Plex Sans" w:hAnsi="IBM Plex Sans" w:cs="Segoe UI"/>
          <w:i/>
          <w:noProof/>
          <w:sz w:val="22"/>
          <w:szCs w:val="22"/>
        </w:rPr>
        <mc:AlternateContent>
          <mc:Choice Requires="wps">
            <w:drawing>
              <wp:anchor distT="0" distB="0" distL="114300" distR="114300" simplePos="0" relativeHeight="251659264" behindDoc="0" locked="0" layoutInCell="1" allowOverlap="1" wp14:anchorId="46FD74BA" wp14:editId="6EC28009">
                <wp:simplePos x="0" y="0"/>
                <wp:positionH relativeFrom="margin">
                  <wp:posOffset>66675</wp:posOffset>
                </wp:positionH>
                <wp:positionV relativeFrom="paragraph">
                  <wp:posOffset>32385</wp:posOffset>
                </wp:positionV>
                <wp:extent cx="5572125" cy="942975"/>
                <wp:effectExtent l="0" t="0" r="28575" b="28575"/>
                <wp:wrapNone/>
                <wp:docPr id="2" name="Rektangel 2"/>
                <wp:cNvGraphicFramePr/>
                <a:graphic xmlns:a="http://schemas.openxmlformats.org/drawingml/2006/main">
                  <a:graphicData uri="http://schemas.microsoft.com/office/word/2010/wordprocessingShape">
                    <wps:wsp>
                      <wps:cNvSpPr/>
                      <wps:spPr>
                        <a:xfrm>
                          <a:off x="0" y="0"/>
                          <a:ext cx="5572125" cy="942975"/>
                        </a:xfrm>
                        <a:prstGeom prst="rect">
                          <a:avLst/>
                        </a:prstGeom>
                        <a:no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D81EEF" w14:textId="6A7DE9DE" w:rsidR="00412335" w:rsidRPr="005C6498" w:rsidRDefault="00C72745" w:rsidP="00412335">
                            <w:pPr>
                              <w:rPr>
                                <w:rFonts w:ascii="IBM Plex Sans" w:hAnsi="IBM Plex Sans"/>
                                <w:i/>
                                <w:iCs/>
                                <w:color w:val="000000" w:themeColor="text1"/>
                                <w:sz w:val="22"/>
                                <w:szCs w:val="18"/>
                              </w:rPr>
                            </w:pPr>
                            <w:r w:rsidRPr="00C72745">
                              <w:rPr>
                                <w:rFonts w:ascii="IBM Plex Sans" w:hAnsi="IBM Plex Sans"/>
                                <w:i/>
                                <w:iCs/>
                                <w:color w:val="000000" w:themeColor="text1"/>
                                <w:sz w:val="22"/>
                                <w:szCs w:val="18"/>
                              </w:rPr>
                              <w:t>Dette er et eksempel på en licensaftale. Brug af dokumentet er på eget ansvar, og vi opfordrer dig til at rådføre dig med en professionel rådgiver.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FD74BA" id="Rektangel 2" o:spid="_x0000_s1026" style="position:absolute;margin-left:5.25pt;margin-top:2.55pt;width:438.75pt;height:7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" filled="f" strokecolor="#95b3d7 [1940]" strokeweight="2pt">
                <v:textbox>
                  <w:txbxContent>
                    <w:p w14:paraId="20D81EEF" w14:textId="6A7DE9DE" w:rsidR="00412335" w:rsidRPr="005C6498" w:rsidRDefault="00C72745" w:rsidP="00412335">
                      <w:pPr>
                        <w:rPr>
                          <w:rFonts w:ascii="IBM Plex Sans" w:hAnsi="IBM Plex Sans"/>
                          <w:i/>
                          <w:iCs/>
                          <w:color w:val="000000" w:themeColor="text1"/>
                          <w:sz w:val="22"/>
                          <w:szCs w:val="18"/>
                        </w:rPr>
                      </w:pPr>
                      <w:r w:rsidRPr="00C72745">
                        <w:rPr>
                          <w:rFonts w:ascii="IBM Plex Sans" w:hAnsi="IBM Plex Sans"/>
                          <w:i/>
                          <w:iCs/>
                          <w:color w:val="000000" w:themeColor="text1"/>
                          <w:sz w:val="22"/>
                          <w:szCs w:val="18"/>
                        </w:rPr>
                        <w:t>Dette er et eksempel på en licensaftale. Brug af dokumentet er på eget ansvar, og vi opfordrer dig til at rådføre dig med en professionel rådgiver.</w:t>
                      </w:r>
                    </w:p>
                  </w:txbxContent>
                </v:textbox>
                <w10:wrap anchorx="margin"/>
              </v:rect>
            </w:pict>
          </mc:Fallback>
        </mc:AlternateContent>
      </w:r>
    </w:p>
    <w:p w14:paraId="46776DBD" w14:textId="08305A02" w:rsidR="00226AF2" w:rsidRPr="00F47BAC" w:rsidRDefault="00226AF2" w:rsidP="00C72745">
      <w:pPr>
        <w:spacing w:line="276" w:lineRule="auto"/>
        <w:rPr>
          <w:rFonts w:ascii="IBM Plex Sans" w:hAnsi="IBM Plex Sans" w:cs="Segoe UI"/>
          <w:sz w:val="22"/>
          <w:szCs w:val="22"/>
        </w:rPr>
      </w:pPr>
    </w:p>
    <w:p w14:paraId="6EB9BE01" w14:textId="0AE9D2D6" w:rsidR="00BA154F" w:rsidRDefault="00BA154F" w:rsidP="00C72745">
      <w:pPr>
        <w:spacing w:line="276" w:lineRule="auto"/>
        <w:rPr>
          <w:rFonts w:ascii="IBM Plex Sans" w:hAnsi="IBM Plex Sans" w:cs="Segoe UI"/>
          <w:sz w:val="22"/>
          <w:szCs w:val="22"/>
        </w:rPr>
      </w:pPr>
    </w:p>
    <w:p w14:paraId="474A0182" w14:textId="7D28A0AE" w:rsidR="00C72745" w:rsidRPr="00C72745" w:rsidRDefault="00C72745" w:rsidP="00C72745">
      <w:pPr>
        <w:spacing w:line="276" w:lineRule="auto"/>
        <w:rPr>
          <w:rFonts w:ascii="IBM Plex Sans" w:hAnsi="IBM Plex Sans" w:cs="Segoe UI"/>
          <w:sz w:val="22"/>
          <w:szCs w:val="22"/>
        </w:rPr>
      </w:pPr>
    </w:p>
    <w:p w14:paraId="1AA925DB" w14:textId="661DF2BC" w:rsidR="00C72745" w:rsidRPr="00C72745" w:rsidRDefault="00C72745" w:rsidP="00C72745">
      <w:pPr>
        <w:spacing w:line="276" w:lineRule="auto"/>
        <w:rPr>
          <w:rFonts w:ascii="IBM Plex Sans" w:hAnsi="IBM Plex Sans" w:cs="Segoe UI"/>
          <w:sz w:val="22"/>
          <w:szCs w:val="22"/>
        </w:rPr>
      </w:pPr>
    </w:p>
    <w:p w14:paraId="25F60EA2" w14:textId="6B9C2BC0" w:rsidR="00C72745" w:rsidRPr="00C72745" w:rsidRDefault="00C72745" w:rsidP="00C72745">
      <w:pPr>
        <w:spacing w:line="276" w:lineRule="auto"/>
        <w:rPr>
          <w:rFonts w:ascii="IBM Plex Sans" w:hAnsi="IBM Plex Sans" w:cs="Segoe UI"/>
          <w:sz w:val="22"/>
          <w:szCs w:val="22"/>
        </w:rPr>
      </w:pPr>
    </w:p>
    <w:p w14:paraId="614748DA" w14:textId="06C2C6D0" w:rsidR="00C72745" w:rsidRPr="00C72745" w:rsidRDefault="00C72745" w:rsidP="00C72745">
      <w:pPr>
        <w:spacing w:line="276" w:lineRule="auto"/>
        <w:rPr>
          <w:rFonts w:ascii="IBM Plex Sans" w:hAnsi="IBM Plex Sans" w:cs="Segoe UI"/>
          <w:sz w:val="22"/>
          <w:szCs w:val="22"/>
        </w:rPr>
      </w:pPr>
    </w:p>
    <w:p w14:paraId="284D3419" w14:textId="4D7BB84D"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b/>
          <w:bCs/>
          <w:sz w:val="22"/>
          <w:szCs w:val="22"/>
          <w:lang w:val="da-DK"/>
        </w:rPr>
        <w:t>Eksempel på licensaftale</w:t>
      </w:r>
    </w:p>
    <w:p w14:paraId="1E5A3CA3" w14:textId="77777777" w:rsidR="00C72745" w:rsidRPr="00C72745" w:rsidRDefault="00C72745" w:rsidP="00C72745">
      <w:pPr>
        <w:pStyle w:val="NormalWeb"/>
        <w:spacing w:line="276" w:lineRule="auto"/>
        <w:rPr>
          <w:rFonts w:ascii="IBM Plex Sans" w:hAnsi="IBM Plex Sans"/>
          <w:sz w:val="22"/>
          <w:szCs w:val="22"/>
          <w:lang w:val="da-DK"/>
        </w:rPr>
      </w:pPr>
    </w:p>
    <w:p w14:paraId="34D46B17" w14:textId="77777777" w:rsidR="00C72745" w:rsidRPr="00C72745" w:rsidRDefault="00C72745" w:rsidP="00C72745">
      <w:pPr>
        <w:pStyle w:val="Heading3"/>
        <w:spacing w:line="276" w:lineRule="auto"/>
        <w:rPr>
          <w:rFonts w:ascii="IBM Plex Sans" w:hAnsi="IBM Plex Sans"/>
          <w:sz w:val="22"/>
          <w:szCs w:val="22"/>
          <w:lang w:val="da-DK"/>
        </w:rPr>
      </w:pPr>
      <w:r w:rsidRPr="00C72745">
        <w:rPr>
          <w:rFonts w:ascii="IBM Plex Sans" w:hAnsi="IBM Plex Sans" w:cs="Arial"/>
          <w:sz w:val="22"/>
          <w:szCs w:val="22"/>
          <w:lang w:val="da-DK"/>
        </w:rPr>
        <w:t>§ 1. Parterne</w:t>
      </w:r>
    </w:p>
    <w:p w14:paraId="541D1A2F" w14:textId="77777777" w:rsidR="00C72745" w:rsidRPr="00C72745" w:rsidRDefault="00C72745" w:rsidP="00C72745">
      <w:pPr>
        <w:spacing w:line="276" w:lineRule="auto"/>
        <w:rPr>
          <w:rFonts w:ascii="IBM Plex Sans" w:hAnsi="IBM Plex Sans"/>
          <w:sz w:val="22"/>
          <w:szCs w:val="22"/>
        </w:rPr>
      </w:pPr>
      <w:r w:rsidRPr="00C72745">
        <w:rPr>
          <w:rFonts w:ascii="IBM Plex Sans" w:hAnsi="IBM Plex Sans" w:cs="Arial"/>
          <w:sz w:val="22"/>
          <w:szCs w:val="22"/>
        </w:rPr>
        <w:t xml:space="preserve">Navn </w:t>
      </w:r>
    </w:p>
    <w:p w14:paraId="7B826C31" w14:textId="77777777" w:rsidR="00C72745" w:rsidRPr="00C72745" w:rsidRDefault="00C72745" w:rsidP="00C72745">
      <w:pPr>
        <w:spacing w:line="276" w:lineRule="auto"/>
        <w:rPr>
          <w:rFonts w:ascii="IBM Plex Sans" w:hAnsi="IBM Plex Sans"/>
          <w:sz w:val="22"/>
          <w:szCs w:val="22"/>
        </w:rPr>
      </w:pPr>
      <w:r w:rsidRPr="00C72745">
        <w:rPr>
          <w:rFonts w:ascii="IBM Plex Sans" w:hAnsi="IBM Plex Sans"/>
          <w:sz w:val="22"/>
          <w:szCs w:val="22"/>
        </w:rPr>
        <w:pict w14:anchorId="4D8B5C13">
          <v:rect id="_x0000_i1025" style="width:481.9pt;height:.6pt" o:hrstd="t" o:hrnoshade="t" o:hr="t" fillcolor="#aca899" stroked="f"/>
        </w:pict>
      </w:r>
    </w:p>
    <w:p w14:paraId="557D7BF3" w14:textId="77777777" w:rsidR="00C72745" w:rsidRPr="00C72745" w:rsidRDefault="00C72745" w:rsidP="00C72745">
      <w:pPr>
        <w:spacing w:line="276" w:lineRule="auto"/>
        <w:rPr>
          <w:rFonts w:ascii="IBM Plex Sans" w:hAnsi="IBM Plex Sans"/>
          <w:sz w:val="22"/>
          <w:szCs w:val="22"/>
        </w:rPr>
      </w:pPr>
      <w:r w:rsidRPr="00C72745">
        <w:rPr>
          <w:rFonts w:ascii="IBM Plex Sans" w:hAnsi="IBM Plex Sans" w:cs="Arial"/>
          <w:sz w:val="22"/>
          <w:szCs w:val="22"/>
        </w:rPr>
        <w:t>Adresse</w:t>
      </w:r>
      <w:r w:rsidRPr="00C72745">
        <w:rPr>
          <w:rFonts w:ascii="IBM Plex Sans" w:hAnsi="IBM Plex Sans"/>
          <w:sz w:val="22"/>
          <w:szCs w:val="22"/>
        </w:rPr>
        <w:t xml:space="preserve"> </w:t>
      </w:r>
    </w:p>
    <w:p w14:paraId="4A0905B3" w14:textId="77777777" w:rsidR="00C72745" w:rsidRPr="00C72745" w:rsidRDefault="00C72745" w:rsidP="00C72745">
      <w:pPr>
        <w:spacing w:line="276" w:lineRule="auto"/>
        <w:rPr>
          <w:rFonts w:ascii="IBM Plex Sans" w:hAnsi="IBM Plex Sans"/>
          <w:sz w:val="22"/>
          <w:szCs w:val="22"/>
        </w:rPr>
      </w:pPr>
      <w:r w:rsidRPr="00C72745">
        <w:rPr>
          <w:rFonts w:ascii="IBM Plex Sans" w:hAnsi="IBM Plex Sans"/>
          <w:sz w:val="22"/>
          <w:szCs w:val="22"/>
        </w:rPr>
        <w:pict w14:anchorId="76581A2B">
          <v:rect id="_x0000_i1026" style="width:481.9pt;height:.6pt" o:hrstd="t" o:hrnoshade="t" o:hr="t" fillcolor="#aca899" stroked="f"/>
        </w:pict>
      </w:r>
    </w:p>
    <w:p w14:paraId="572C777F" w14:textId="77777777" w:rsidR="00C72745" w:rsidRPr="00C72745" w:rsidRDefault="00C72745" w:rsidP="00C72745">
      <w:pPr>
        <w:spacing w:line="276" w:lineRule="auto"/>
        <w:rPr>
          <w:rFonts w:ascii="IBM Plex Sans" w:hAnsi="IBM Plex Sans"/>
          <w:sz w:val="22"/>
          <w:szCs w:val="22"/>
        </w:rPr>
      </w:pPr>
      <w:r w:rsidRPr="00C72745">
        <w:rPr>
          <w:rFonts w:ascii="IBM Plex Sans" w:hAnsi="IBM Plex Sans" w:cs="Arial"/>
          <w:sz w:val="22"/>
          <w:szCs w:val="22"/>
        </w:rPr>
        <w:t>Tlf.</w:t>
      </w:r>
      <w:r w:rsidRPr="00C72745">
        <w:rPr>
          <w:rFonts w:ascii="IBM Plex Sans" w:hAnsi="IBM Plex Sans"/>
          <w:sz w:val="22"/>
          <w:szCs w:val="22"/>
        </w:rPr>
        <w:t xml:space="preserve"> </w:t>
      </w:r>
    </w:p>
    <w:p w14:paraId="5FF12A50" w14:textId="77777777" w:rsidR="00C72745" w:rsidRPr="00C72745" w:rsidRDefault="00C72745" w:rsidP="00C72745">
      <w:pPr>
        <w:spacing w:line="276" w:lineRule="auto"/>
        <w:rPr>
          <w:rFonts w:ascii="IBM Plex Sans" w:hAnsi="IBM Plex Sans"/>
          <w:sz w:val="22"/>
          <w:szCs w:val="22"/>
        </w:rPr>
      </w:pPr>
      <w:r w:rsidRPr="00C72745">
        <w:rPr>
          <w:rFonts w:ascii="IBM Plex Sans" w:hAnsi="IBM Plex Sans"/>
          <w:sz w:val="22"/>
          <w:szCs w:val="22"/>
        </w:rPr>
        <w:pict w14:anchorId="2CF0D896">
          <v:rect id="_x0000_i1027" style="width:481.9pt;height:.6pt" o:hrstd="t" o:hrnoshade="t" o:hr="t" fillcolor="#aca899" stroked="f"/>
        </w:pict>
      </w:r>
    </w:p>
    <w:p w14:paraId="41F11D79" w14:textId="77777777" w:rsidR="00C72745" w:rsidRPr="00C72745" w:rsidRDefault="00C72745" w:rsidP="00C72745">
      <w:pPr>
        <w:spacing w:line="276" w:lineRule="auto"/>
        <w:rPr>
          <w:rFonts w:ascii="IBM Plex Sans" w:hAnsi="IBM Plex Sans"/>
          <w:sz w:val="22"/>
          <w:szCs w:val="22"/>
        </w:rPr>
      </w:pPr>
      <w:r w:rsidRPr="00C72745">
        <w:rPr>
          <w:rFonts w:ascii="IBM Plex Sans" w:hAnsi="IBM Plex Sans" w:cs="Arial"/>
          <w:sz w:val="22"/>
          <w:szCs w:val="22"/>
        </w:rPr>
        <w:t>CVR-nummer</w:t>
      </w:r>
    </w:p>
    <w:p w14:paraId="5A047FB3" w14:textId="77777777" w:rsidR="00C72745" w:rsidRPr="00C72745" w:rsidRDefault="00C72745" w:rsidP="00C72745">
      <w:pPr>
        <w:spacing w:line="276" w:lineRule="auto"/>
        <w:rPr>
          <w:rFonts w:ascii="IBM Plex Sans" w:hAnsi="IBM Plex Sans"/>
          <w:sz w:val="22"/>
          <w:szCs w:val="22"/>
        </w:rPr>
      </w:pPr>
      <w:r w:rsidRPr="00C72745">
        <w:rPr>
          <w:rFonts w:ascii="IBM Plex Sans" w:hAnsi="IBM Plex Sans"/>
          <w:sz w:val="22"/>
          <w:szCs w:val="22"/>
        </w:rPr>
        <w:pict w14:anchorId="2EB1BACD">
          <v:rect id="_x0000_i1028" style="width:481.9pt;height:.6pt" o:hrstd="t" o:hrnoshade="t" o:hr="t" fillcolor="#aca899" stroked="f"/>
        </w:pict>
      </w:r>
    </w:p>
    <w:p w14:paraId="79A3E092" w14:textId="77777777" w:rsidR="00C72745" w:rsidRPr="00C72745" w:rsidRDefault="00C72745" w:rsidP="00C72745">
      <w:pPr>
        <w:spacing w:line="276" w:lineRule="auto"/>
        <w:rPr>
          <w:rFonts w:ascii="IBM Plex Sans" w:hAnsi="IBM Plex Sans"/>
          <w:sz w:val="22"/>
          <w:szCs w:val="22"/>
        </w:rPr>
      </w:pPr>
      <w:r w:rsidRPr="00C72745">
        <w:rPr>
          <w:rFonts w:ascii="IBM Plex Sans" w:hAnsi="IBM Plex Sans" w:cs="Arial"/>
          <w:sz w:val="22"/>
          <w:szCs w:val="22"/>
        </w:rPr>
        <w:t xml:space="preserve">(i det følgende kaldet Licensgiver, forkortet LG) </w:t>
      </w:r>
    </w:p>
    <w:p w14:paraId="1EEB4C7C" w14:textId="77777777" w:rsidR="00C72745" w:rsidRPr="00C72745" w:rsidRDefault="00C72745" w:rsidP="00C72745">
      <w:pPr>
        <w:pStyle w:val="NormalWeb"/>
        <w:spacing w:line="276" w:lineRule="auto"/>
        <w:rPr>
          <w:rFonts w:ascii="IBM Plex Sans" w:hAnsi="IBM Plex Sans"/>
          <w:sz w:val="22"/>
          <w:szCs w:val="22"/>
        </w:rPr>
      </w:pPr>
      <w:proofErr w:type="spellStart"/>
      <w:r w:rsidRPr="00C72745">
        <w:rPr>
          <w:rFonts w:ascii="IBM Plex Sans" w:hAnsi="IBM Plex Sans" w:cs="Arial"/>
          <w:sz w:val="22"/>
          <w:szCs w:val="22"/>
        </w:rPr>
        <w:t>og</w:t>
      </w:r>
      <w:proofErr w:type="spellEnd"/>
    </w:p>
    <w:p w14:paraId="43E1E5DF" w14:textId="77777777" w:rsidR="00C72745" w:rsidRPr="00C72745" w:rsidRDefault="00C72745" w:rsidP="00C72745">
      <w:pPr>
        <w:pStyle w:val="NormalWeb"/>
        <w:spacing w:line="276" w:lineRule="auto"/>
        <w:rPr>
          <w:rFonts w:ascii="IBM Plex Sans" w:hAnsi="IBM Plex Sans"/>
          <w:sz w:val="22"/>
          <w:szCs w:val="22"/>
        </w:rPr>
      </w:pPr>
      <w:proofErr w:type="spellStart"/>
      <w:r w:rsidRPr="00C72745">
        <w:rPr>
          <w:rFonts w:ascii="IBM Plex Sans" w:hAnsi="IBM Plex Sans" w:cs="Arial"/>
          <w:sz w:val="22"/>
          <w:szCs w:val="22"/>
        </w:rPr>
        <w:t>Navn</w:t>
      </w:r>
      <w:proofErr w:type="spellEnd"/>
      <w:r w:rsidRPr="00C72745">
        <w:rPr>
          <w:rFonts w:ascii="IBM Plex Sans" w:hAnsi="IBM Plex Sans" w:cs="Arial"/>
          <w:sz w:val="22"/>
          <w:szCs w:val="22"/>
        </w:rPr>
        <w:t xml:space="preserve"> </w:t>
      </w:r>
    </w:p>
    <w:p w14:paraId="4C3C7806" w14:textId="77777777" w:rsidR="00C72745" w:rsidRPr="00C72745" w:rsidRDefault="00C72745" w:rsidP="00C72745">
      <w:pPr>
        <w:spacing w:line="276" w:lineRule="auto"/>
        <w:rPr>
          <w:rFonts w:ascii="IBM Plex Sans" w:hAnsi="IBM Plex Sans"/>
          <w:sz w:val="22"/>
          <w:szCs w:val="22"/>
        </w:rPr>
      </w:pPr>
      <w:r w:rsidRPr="00C72745">
        <w:rPr>
          <w:rFonts w:ascii="IBM Plex Sans" w:hAnsi="IBM Plex Sans"/>
          <w:sz w:val="22"/>
          <w:szCs w:val="22"/>
        </w:rPr>
        <w:pict w14:anchorId="735808CF">
          <v:rect id="_x0000_i1029" style="width:481.9pt;height:.6pt" o:hrstd="t" o:hrnoshade="t" o:hr="t" fillcolor="#aca899" stroked="f"/>
        </w:pict>
      </w:r>
    </w:p>
    <w:p w14:paraId="46D55A1E" w14:textId="77777777" w:rsidR="00C72745" w:rsidRPr="00C72745" w:rsidRDefault="00C72745" w:rsidP="00C72745">
      <w:pPr>
        <w:spacing w:line="276" w:lineRule="auto"/>
        <w:rPr>
          <w:rFonts w:ascii="IBM Plex Sans" w:hAnsi="IBM Plex Sans"/>
          <w:sz w:val="22"/>
          <w:szCs w:val="22"/>
        </w:rPr>
      </w:pPr>
      <w:r w:rsidRPr="00C72745">
        <w:rPr>
          <w:rFonts w:ascii="IBM Plex Sans" w:hAnsi="IBM Plex Sans" w:cs="Arial"/>
          <w:sz w:val="22"/>
          <w:szCs w:val="22"/>
        </w:rPr>
        <w:t xml:space="preserve">Adresse </w:t>
      </w:r>
    </w:p>
    <w:p w14:paraId="01EF05DF" w14:textId="77777777" w:rsidR="00C72745" w:rsidRPr="00C72745" w:rsidRDefault="00C72745" w:rsidP="00C72745">
      <w:pPr>
        <w:spacing w:line="276" w:lineRule="auto"/>
        <w:rPr>
          <w:rFonts w:ascii="IBM Plex Sans" w:hAnsi="IBM Plex Sans"/>
          <w:sz w:val="22"/>
          <w:szCs w:val="22"/>
        </w:rPr>
      </w:pPr>
      <w:r w:rsidRPr="00C72745">
        <w:rPr>
          <w:rFonts w:ascii="IBM Plex Sans" w:hAnsi="IBM Plex Sans"/>
          <w:sz w:val="22"/>
          <w:szCs w:val="22"/>
        </w:rPr>
        <w:pict w14:anchorId="1356F233">
          <v:rect id="_x0000_i1030" style="width:481.9pt;height:.6pt" o:hrstd="t" o:hrnoshade="t" o:hr="t" fillcolor="#aca899" stroked="f"/>
        </w:pict>
      </w:r>
    </w:p>
    <w:p w14:paraId="49C0EEBD" w14:textId="77777777" w:rsidR="00C72745" w:rsidRPr="00C72745" w:rsidRDefault="00C72745" w:rsidP="00C72745">
      <w:pPr>
        <w:spacing w:line="276" w:lineRule="auto"/>
        <w:rPr>
          <w:rFonts w:ascii="IBM Plex Sans" w:hAnsi="IBM Plex Sans"/>
          <w:sz w:val="22"/>
          <w:szCs w:val="22"/>
        </w:rPr>
      </w:pPr>
      <w:r w:rsidRPr="00C72745">
        <w:rPr>
          <w:rFonts w:ascii="IBM Plex Sans" w:hAnsi="IBM Plex Sans" w:cs="Arial"/>
          <w:sz w:val="22"/>
          <w:szCs w:val="22"/>
        </w:rPr>
        <w:t xml:space="preserve">Tlf. </w:t>
      </w:r>
    </w:p>
    <w:p w14:paraId="0993A162" w14:textId="77777777" w:rsidR="00C72745" w:rsidRPr="00C72745" w:rsidRDefault="00C72745" w:rsidP="00C72745">
      <w:pPr>
        <w:spacing w:line="276" w:lineRule="auto"/>
        <w:rPr>
          <w:rFonts w:ascii="IBM Plex Sans" w:hAnsi="IBM Plex Sans"/>
          <w:sz w:val="22"/>
          <w:szCs w:val="22"/>
        </w:rPr>
      </w:pPr>
      <w:r w:rsidRPr="00C72745">
        <w:rPr>
          <w:rFonts w:ascii="IBM Plex Sans" w:hAnsi="IBM Plex Sans"/>
          <w:sz w:val="22"/>
          <w:szCs w:val="22"/>
        </w:rPr>
        <w:pict w14:anchorId="099651E4">
          <v:rect id="_x0000_i1031" style="width:481.9pt;height:.6pt" o:hrstd="t" o:hrnoshade="t" o:hr="t" fillcolor="#aca899" stroked="f"/>
        </w:pict>
      </w:r>
    </w:p>
    <w:p w14:paraId="7FA2D31C" w14:textId="77777777" w:rsidR="00C72745" w:rsidRPr="00C72745" w:rsidRDefault="00C72745" w:rsidP="00C72745">
      <w:pPr>
        <w:spacing w:line="276" w:lineRule="auto"/>
        <w:rPr>
          <w:rFonts w:ascii="IBM Plex Sans" w:hAnsi="IBM Plex Sans"/>
          <w:sz w:val="22"/>
          <w:szCs w:val="22"/>
        </w:rPr>
      </w:pPr>
      <w:r w:rsidRPr="00C72745">
        <w:rPr>
          <w:rFonts w:ascii="IBM Plex Sans" w:hAnsi="IBM Plex Sans" w:cs="Arial"/>
          <w:sz w:val="22"/>
          <w:szCs w:val="22"/>
        </w:rPr>
        <w:t>CVR-nummer</w:t>
      </w:r>
    </w:p>
    <w:p w14:paraId="2489E750" w14:textId="77777777" w:rsidR="00C72745" w:rsidRPr="00C72745" w:rsidRDefault="00C72745" w:rsidP="00C72745">
      <w:pPr>
        <w:spacing w:line="276" w:lineRule="auto"/>
        <w:rPr>
          <w:rFonts w:ascii="IBM Plex Sans" w:hAnsi="IBM Plex Sans"/>
          <w:sz w:val="22"/>
          <w:szCs w:val="22"/>
        </w:rPr>
      </w:pPr>
      <w:r w:rsidRPr="00C72745">
        <w:rPr>
          <w:rFonts w:ascii="IBM Plex Sans" w:hAnsi="IBM Plex Sans"/>
          <w:sz w:val="22"/>
          <w:szCs w:val="22"/>
        </w:rPr>
        <w:pict w14:anchorId="66D0569E">
          <v:rect id="_x0000_i1032" style="width:481.9pt;height:.6pt" o:hrstd="t" o:hrnoshade="t" o:hr="t" fillcolor="#aca899" stroked="f"/>
        </w:pict>
      </w:r>
    </w:p>
    <w:p w14:paraId="597BB191" w14:textId="77777777" w:rsidR="00C72745" w:rsidRPr="00C72745" w:rsidRDefault="00C72745" w:rsidP="00C72745">
      <w:pPr>
        <w:spacing w:line="276" w:lineRule="auto"/>
        <w:rPr>
          <w:rFonts w:ascii="IBM Plex Sans" w:hAnsi="IBM Plex Sans"/>
          <w:sz w:val="22"/>
          <w:szCs w:val="22"/>
        </w:rPr>
      </w:pPr>
      <w:r w:rsidRPr="00C72745">
        <w:rPr>
          <w:rFonts w:ascii="IBM Plex Sans" w:hAnsi="IBM Plex Sans" w:cs="Arial"/>
          <w:sz w:val="22"/>
          <w:szCs w:val="22"/>
        </w:rPr>
        <w:t xml:space="preserve">(i det følgende kaldet Licenstager, forkortet LT) </w:t>
      </w:r>
    </w:p>
    <w:p w14:paraId="7957E8C8"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t>som i det følgende benævnes Parterne, har dags dato indgået følgende aftale:</w:t>
      </w:r>
    </w:p>
    <w:p w14:paraId="3C8A2A15" w14:textId="7EA5BEDE" w:rsid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sz w:val="22"/>
          <w:szCs w:val="22"/>
          <w:lang w:val="da-DK"/>
        </w:rPr>
        <w:t> </w:t>
      </w:r>
    </w:p>
    <w:p w14:paraId="37985019" w14:textId="694595E3" w:rsidR="00C72745" w:rsidRDefault="00C72745" w:rsidP="00C72745">
      <w:pPr>
        <w:pStyle w:val="NormalWeb"/>
        <w:spacing w:line="276" w:lineRule="auto"/>
        <w:rPr>
          <w:rFonts w:ascii="IBM Plex Sans" w:hAnsi="IBM Plex Sans"/>
          <w:sz w:val="22"/>
          <w:szCs w:val="22"/>
          <w:lang w:val="da-DK"/>
        </w:rPr>
      </w:pPr>
    </w:p>
    <w:p w14:paraId="2D941842" w14:textId="77777777" w:rsidR="00C72745" w:rsidRPr="00C72745" w:rsidRDefault="00C72745" w:rsidP="00C72745">
      <w:pPr>
        <w:pStyle w:val="NormalWeb"/>
        <w:spacing w:line="276" w:lineRule="auto"/>
        <w:rPr>
          <w:rFonts w:ascii="IBM Plex Sans" w:hAnsi="IBM Plex Sans"/>
          <w:sz w:val="22"/>
          <w:szCs w:val="22"/>
          <w:lang w:val="da-DK"/>
        </w:rPr>
      </w:pPr>
      <w:bookmarkStart w:id="0" w:name="_GoBack"/>
      <w:bookmarkEnd w:id="0"/>
    </w:p>
    <w:p w14:paraId="1B7D30FC"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b/>
          <w:bCs/>
          <w:sz w:val="22"/>
          <w:szCs w:val="22"/>
          <w:lang w:val="da-DK"/>
        </w:rPr>
        <w:lastRenderedPageBreak/>
        <w:t>§ 2. Indledning</w:t>
      </w:r>
    </w:p>
    <w:p w14:paraId="2CCD06B8"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t>LG har udviklet en opfindelse (beskrivelse af opfindelsen) i den følgende kaldet Opfindelsen.</w:t>
      </w:r>
    </w:p>
    <w:p w14:paraId="50878C25"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t>Opfindelsen tilhører LG.</w:t>
      </w:r>
    </w:p>
    <w:p w14:paraId="7B185655"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t>LG har forestået en nyhedsundersøgelse af Opfindelsen, hvorefter Opfindelsen er patenteret.</w:t>
      </w:r>
    </w:p>
    <w:p w14:paraId="6FB4F47C"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t>LG er i besiddelse af en given knowhow vedrørende Opfindelsen.</w:t>
      </w:r>
    </w:p>
    <w:p w14:paraId="0C1431C3"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t>LG er villig til at give licens på Opfindelsen og den dertil hørende knowhow.</w:t>
      </w:r>
    </w:p>
    <w:p w14:paraId="233B42EE" w14:textId="5052ED1E"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t>Ved brug af ordet Opfindelse i nærværende kontrakt menes de opfindelser, forbedringer, udviklinger m.m., som falder inden for ovennævnte beskrivelse, og som kan udledes af neden for nævnte patentansøgninger, patenter og knowhow i forbindelse hermed, dog undtaget patentansøgninger og patenter, hvor LT alene er angivet som opfinder og ansøger.</w:t>
      </w:r>
    </w:p>
    <w:p w14:paraId="33836F9D"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b/>
          <w:bCs/>
          <w:sz w:val="22"/>
          <w:szCs w:val="22"/>
          <w:lang w:val="da-DK"/>
        </w:rPr>
        <w:t>§ 3. Patentet</w:t>
      </w:r>
    </w:p>
    <w:p w14:paraId="545DBAFE"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t>LG har d. xx indleveret patentansøgning nr. xx under titlen xx i (angivelse af lande).</w:t>
      </w:r>
    </w:p>
    <w:p w14:paraId="4174735D" w14:textId="23EE0B0E"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t>LG har d. xx fået udstedt patent nr. xx under titlen xx i (angivelse af lande).</w:t>
      </w:r>
    </w:p>
    <w:p w14:paraId="2B7A823D"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b/>
          <w:bCs/>
          <w:sz w:val="22"/>
          <w:szCs w:val="22"/>
          <w:lang w:val="da-DK"/>
        </w:rPr>
        <w:t>§ 4. Område, territorier og eksklusivitet</w:t>
      </w:r>
    </w:p>
    <w:p w14:paraId="15E334A1"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t>LG overdrager ved nærværende kontrakts underskrivelse inden for (beskrivelse af området) eneretten til LT til såvel kommercielt som på anden vis at udnytte Opfindelsen i xx (lande) herefter kaldet Territoriet - herunder bl.a. retten til at producere, bruge, markedsføre og sælge produkter, hvori Opfindelsen udnyttes.</w:t>
      </w:r>
    </w:p>
    <w:p w14:paraId="4866CF7E"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t>Udnyttelsesretten er eksklusiv. Dette betyder, at hverken LG eller andre er berettigede til på nogen måde at udnytte Opfindelsen inden for ovennævnte område.</w:t>
      </w:r>
    </w:p>
    <w:p w14:paraId="2B32E7CC"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t>Uden for Territoriet er LT ikke berettiget til at udnytte Opfindelsen kommercielt eller på anden vis.</w:t>
      </w:r>
    </w:p>
    <w:p w14:paraId="5AF33A79"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t>LG er berettiget til med x måneders varsel til en måneds udgang at ophæve eksklusiviteten i et eller flere lande, dog tidligst fra d. xx, såfremt LT uden gyldig grund ikke udnytter Opfindelsen, eller i det omfang den faktisk indtjente licensafgift i x på hinanden følgende kalenderår fra og med d. xx har været mindre end minimumslicensafgiften, jf. denne kontrakts § 5.</w:t>
      </w:r>
    </w:p>
    <w:p w14:paraId="40172B18"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t>Såfremt Parterne hver for sig eller i fællesskab finder en udnyttelsesmulighed inden for andre end det ovennævnte område, har LT en option på at få nærværende kontrakt udvidet til at omfatte disse områder på uændrede vilkår.</w:t>
      </w:r>
    </w:p>
    <w:p w14:paraId="53DD0A37"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t>Såfremt LT ønsker at udnytte optionen, skal der gives skriftlig meddelelse herom til LG, senest x måneder efter, at LT er blevet bekendt med den ny udnyttelsesmulighed.</w:t>
      </w:r>
    </w:p>
    <w:p w14:paraId="61DDB94B"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lastRenderedPageBreak/>
        <w:t>Ønsker LT ikke at udnytte optionen, er LG frit stillet til selv eller ved tredjemand at udnytte Opfindelsen på det ny område.</w:t>
      </w:r>
    </w:p>
    <w:p w14:paraId="18DC9786" w14:textId="4BE9D84F"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t>Parterne er forpligtede til at oplyse hinanden om nye udnyttelsesmuligheder uden ugrundet ophold.</w:t>
      </w:r>
    </w:p>
    <w:p w14:paraId="61ADBB48"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b/>
          <w:bCs/>
          <w:sz w:val="22"/>
          <w:szCs w:val="22"/>
          <w:lang w:val="da-DK"/>
        </w:rPr>
        <w:t>§ 5. Licensafgift</w:t>
      </w:r>
    </w:p>
    <w:p w14:paraId="60F69D8F"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t>For den omtalte udnyttelsesret betaler LT til LG en engangsbetaling på kr. xx ved nærværende kontrakts underskrivelse.</w:t>
      </w:r>
    </w:p>
    <w:p w14:paraId="70076012"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t>Herudover betales en licensafgift af salget af produkter, hvori den omhandlede opfindelse udnyttes.</w:t>
      </w:r>
    </w:p>
    <w:p w14:paraId="65FD8CAC"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t>Licensafgiften beregnes af fakturapris ab fabrik eksklusive emballage, moms, told og eventuelle andre afgifter.</w:t>
      </w:r>
    </w:p>
    <w:p w14:paraId="4B0A7F52"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t>I beregningsgrundlaget fragår tillige forhandlerrabatter, dog maximalt med xx % af fakturaprisen.</w:t>
      </w:r>
    </w:p>
    <w:p w14:paraId="6CC348A6"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t>Licensafgiften udgør xx % af det fakturerede salg.</w:t>
      </w:r>
    </w:p>
    <w:p w14:paraId="1AC6FCAC"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t>Fra og med kalenderåret x betales licensafgiften med minimum kr. xx årligt.</w:t>
      </w:r>
    </w:p>
    <w:p w14:paraId="5ED80968"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t>Minimumslicensafgiften pristalsreguleres hver d. xx for det pågældende kalenderår på basis af ændringen i det lønregulerende pristal i de foregående kalenderår, første gang d. xx dog på basis af ændringer i tiden d. xx til d. xx.</w:t>
      </w:r>
    </w:p>
    <w:p w14:paraId="20EDBA18"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t>Minimumslicensen kan aldrig blive lavere end ovenfor anført.</w:t>
      </w:r>
    </w:p>
    <w:p w14:paraId="5B08DFFE"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t>Licensafgiften, herunder minimumslicensafgiften, forfalder hvert kvartal d. 1/1, 1/4, 1/7 og 1/10 for det foregående kvartal.</w:t>
      </w:r>
    </w:p>
    <w:p w14:paraId="73BDD981" w14:textId="1CBDE16D"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t>Afgiften erlægges senest xx dage efter forfaldsdagen. Alle betalinger tillægges moms</w:t>
      </w:r>
      <w:r>
        <w:rPr>
          <w:rFonts w:ascii="IBM Plex Sans" w:hAnsi="IBM Plex Sans" w:cs="Arial"/>
          <w:sz w:val="22"/>
          <w:szCs w:val="22"/>
          <w:lang w:val="da-DK"/>
        </w:rPr>
        <w:t>.</w:t>
      </w:r>
    </w:p>
    <w:p w14:paraId="554E2784"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b/>
          <w:bCs/>
          <w:sz w:val="22"/>
          <w:szCs w:val="22"/>
          <w:lang w:val="da-DK"/>
        </w:rPr>
        <w:t>§ 6. Beregningsgrundlag</w:t>
      </w:r>
    </w:p>
    <w:p w14:paraId="324EE452"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t>Til brug for LG's kontrol af licensafgiftens beregning forpligter LT sig til samtidig med betaling at fremsende oversigt over omsætningen i den pågældende periode.</w:t>
      </w:r>
    </w:p>
    <w:p w14:paraId="1799F0D0"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t xml:space="preserve">LG kan enten ved en af ham/hende selvvalgt statsautoriseret revisor eller ved </w:t>
      </w:r>
      <w:proofErr w:type="spellStart"/>
      <w:r w:rsidRPr="00C72745">
        <w:rPr>
          <w:rFonts w:ascii="IBM Plex Sans" w:hAnsi="IBM Plex Sans" w:cs="Arial"/>
          <w:sz w:val="22"/>
          <w:szCs w:val="22"/>
          <w:lang w:val="da-DK"/>
        </w:rPr>
        <w:t>LT's</w:t>
      </w:r>
      <w:proofErr w:type="spellEnd"/>
      <w:r w:rsidRPr="00C72745">
        <w:rPr>
          <w:rFonts w:ascii="IBM Plex Sans" w:hAnsi="IBM Plex Sans" w:cs="Arial"/>
          <w:sz w:val="22"/>
          <w:szCs w:val="22"/>
          <w:lang w:val="da-DK"/>
        </w:rPr>
        <w:t xml:space="preserve"> statsautoriserede revisor lade det for beløbenes beregning relevante materiale gennemgå med henblik på at opnå revisors attest for den korrekte beregning.</w:t>
      </w:r>
    </w:p>
    <w:p w14:paraId="07B818EF"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t xml:space="preserve">Sker gennemgangen ved </w:t>
      </w:r>
      <w:proofErr w:type="spellStart"/>
      <w:r w:rsidRPr="00C72745">
        <w:rPr>
          <w:rFonts w:ascii="IBM Plex Sans" w:hAnsi="IBM Plex Sans" w:cs="Arial"/>
          <w:sz w:val="22"/>
          <w:szCs w:val="22"/>
          <w:lang w:val="da-DK"/>
        </w:rPr>
        <w:t>LT's</w:t>
      </w:r>
      <w:proofErr w:type="spellEnd"/>
      <w:r w:rsidRPr="00C72745">
        <w:rPr>
          <w:rFonts w:ascii="IBM Plex Sans" w:hAnsi="IBM Plex Sans" w:cs="Arial"/>
          <w:sz w:val="22"/>
          <w:szCs w:val="22"/>
          <w:lang w:val="da-DK"/>
        </w:rPr>
        <w:t xml:space="preserve"> revisor, afholder LT udgiften hertil. I øvrigt afholdes udgiften af LG.</w:t>
      </w:r>
    </w:p>
    <w:p w14:paraId="0F37574C" w14:textId="6B56422C"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t>Denne bestemmelse er gældende i et år efter nærværende kontrakts ophør.</w:t>
      </w:r>
    </w:p>
    <w:p w14:paraId="591CB18F"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b/>
          <w:bCs/>
          <w:sz w:val="22"/>
          <w:szCs w:val="22"/>
          <w:lang w:val="da-DK"/>
        </w:rPr>
        <w:t>§ 7. Konsulentbistand</w:t>
      </w:r>
    </w:p>
    <w:p w14:paraId="3CD4A892"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lastRenderedPageBreak/>
        <w:t>I kontraktperioden bistår LG i rimeligt omfang LT som konsulent med produktmodning og andre til Opfindelsen relaterede opgaver.</w:t>
      </w:r>
    </w:p>
    <w:p w14:paraId="4553B8EA"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t>For LG's bistand betaler LT i det første år af kontraktens løbetid kr. xx pr. påbegyndt time. I resten af kontraktens løbetid betales kr. xx tillagt xx % pr. påbegyndt time.</w:t>
      </w:r>
    </w:p>
    <w:p w14:paraId="37E9B49C"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t>LG udfærdiger opgørelsen af sit tilgodehavende ved afslutningen af hver kalendermåned. LT betaler tilgodehavendet inden d. xx i hver kalendermåned.</w:t>
      </w:r>
    </w:p>
    <w:p w14:paraId="1BC2A914"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t>Timehonoraret pristalsreguleres hver d. 1/1 for det kommende kalenderår på basis af ændringen i det lønregulerende pristal i de foregående kalenderår, første gang 1/1 xx dog på basis af ændringer i tiden 1/1 xx - 31/12 xx.</w:t>
      </w:r>
    </w:p>
    <w:p w14:paraId="15DD2708"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t>Såfremt bistanden medfører udgifter for LG til rejse, ophold eller fortæring, refunderes sådanne udgifter af LT mod fremvisning af dokumentation.</w:t>
      </w:r>
    </w:p>
    <w:p w14:paraId="602F0B50"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t>Ved særligt omkostningskrævende rejser o. lign. kan LG begære sig udbetalt rejseforskud.</w:t>
      </w:r>
    </w:p>
    <w:p w14:paraId="07D1D8C1"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t>LT tilrettelægger tidspunkterne for konsulentbistanden således, at LG i videst muligt omfang kan gennemføre andre LG påhvilende arbejdsopgaver.</w:t>
      </w:r>
    </w:p>
    <w:p w14:paraId="5D4DC217" w14:textId="0A956B73"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t>LG er berettiget til at bosætte sig hvor som helst.</w:t>
      </w:r>
    </w:p>
    <w:p w14:paraId="0B1BC8D2"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b/>
          <w:bCs/>
          <w:sz w:val="22"/>
          <w:szCs w:val="22"/>
          <w:lang w:val="da-DK"/>
        </w:rPr>
        <w:t xml:space="preserve">§ 8. Udgifter til patenter </w:t>
      </w:r>
      <w:proofErr w:type="spellStart"/>
      <w:r w:rsidRPr="00C72745">
        <w:rPr>
          <w:rFonts w:ascii="IBM Plex Sans" w:hAnsi="IBM Plex Sans" w:cs="Arial"/>
          <w:b/>
          <w:bCs/>
          <w:sz w:val="22"/>
          <w:szCs w:val="22"/>
          <w:lang w:val="da-DK"/>
        </w:rPr>
        <w:t>o.lign</w:t>
      </w:r>
      <w:proofErr w:type="spellEnd"/>
      <w:r w:rsidRPr="00C72745">
        <w:rPr>
          <w:rFonts w:ascii="IBM Plex Sans" w:hAnsi="IBM Plex Sans" w:cs="Arial"/>
          <w:b/>
          <w:bCs/>
          <w:sz w:val="22"/>
          <w:szCs w:val="22"/>
          <w:lang w:val="da-DK"/>
        </w:rPr>
        <w:t>.</w:t>
      </w:r>
    </w:p>
    <w:p w14:paraId="43F3D94F"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t>Alle efter nærværende kontrakts underskrift forfaldne udgifter vedrørende Opfindelsen, herunder patentansøgninger og patenter samt alle udgifter til patentagent og til vedligeholdelse af eksisterende og kommende patent(er), afholdes af LT.</w:t>
      </w:r>
    </w:p>
    <w:p w14:paraId="673421AC" w14:textId="5C83B0FB"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t>Alle momspligtige betalinger i henhold til nærværende kontrakt er eksklusiv eksportomkostninger og tillægges moms.</w:t>
      </w:r>
    </w:p>
    <w:p w14:paraId="55FCAD82"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b/>
          <w:bCs/>
          <w:sz w:val="22"/>
          <w:szCs w:val="22"/>
          <w:lang w:val="da-DK"/>
        </w:rPr>
        <w:t>§ 9. Informationspligt</w:t>
      </w:r>
    </w:p>
    <w:p w14:paraId="59992EE3"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t>Parterne holder uden ugrundet ophold hinanden orienterede om udviklinger, forbedringer o. lign., der måtte opstå på Opfindelsen eller i tilknytning hertil i kontraktens løbetid.</w:t>
      </w:r>
    </w:p>
    <w:p w14:paraId="64A8B26C"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t>Sådanne udviklinger, forbedringer o. lign., der falder naturligt i forlængelse af Opfindelsen, dog bortset fra patentérbare opfindelser gjort af LT, tilhører LG, uanset hvem, der måtte være ophavsmand til dem.</w:t>
      </w:r>
    </w:p>
    <w:p w14:paraId="36D1D205"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t>Sådanne udviklinger, forbedringer o. lign., der falder naturligt i forlængelse af Opfindelsen, kan frit benyttes af LT i henhold til bestemmelserne i nærværende kontrakt.</w:t>
      </w:r>
    </w:p>
    <w:p w14:paraId="2A72DC2A"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sz w:val="22"/>
          <w:szCs w:val="22"/>
          <w:lang w:val="da-DK"/>
        </w:rPr>
        <w:t> </w:t>
      </w:r>
    </w:p>
    <w:p w14:paraId="137502A4"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b/>
          <w:bCs/>
          <w:sz w:val="22"/>
          <w:szCs w:val="22"/>
          <w:lang w:val="da-DK"/>
        </w:rPr>
        <w:lastRenderedPageBreak/>
        <w:t>§ 10. Patentérbare udviklinger</w:t>
      </w:r>
    </w:p>
    <w:p w14:paraId="0AF2F6B8"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t>Såfremt der i kontraktens løbetid gøres patentérbare opfindelser i naturlig forlængelse af Opfindelsen, tilhører disse opfinderen, men de kan frit udnyttes af LT henholdsvis LG i overensstemmelse med nærværende kontrakt.</w:t>
      </w:r>
    </w:p>
    <w:p w14:paraId="25EF999B"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t>LT er berettiget til at indlevere ansøgning om patent på sådanne opfindelser, hvor LT måtte ønske det.</w:t>
      </w:r>
    </w:p>
    <w:p w14:paraId="73E4A1F4"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t xml:space="preserve">Sådanne ansøgninger indgives for </w:t>
      </w:r>
      <w:proofErr w:type="spellStart"/>
      <w:r w:rsidRPr="00C72745">
        <w:rPr>
          <w:rFonts w:ascii="IBM Plex Sans" w:hAnsi="IBM Plex Sans" w:cs="Arial"/>
          <w:sz w:val="22"/>
          <w:szCs w:val="22"/>
          <w:lang w:val="da-DK"/>
        </w:rPr>
        <w:t>LT's</w:t>
      </w:r>
      <w:proofErr w:type="spellEnd"/>
      <w:r w:rsidRPr="00C72745">
        <w:rPr>
          <w:rFonts w:ascii="IBM Plex Sans" w:hAnsi="IBM Plex Sans" w:cs="Arial"/>
          <w:sz w:val="22"/>
          <w:szCs w:val="22"/>
          <w:lang w:val="da-DK"/>
        </w:rPr>
        <w:t xml:space="preserve"> regning, men med angivelse af opfinderen, hvad enten denne er LG eller LT, som opfinder og ansøger.</w:t>
      </w:r>
    </w:p>
    <w:p w14:paraId="2525F4E5"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t>For sådanne ansøgninger gælder, at de indleveres af et anerkendt patentbureau, og at LT er ansvarlig for patentsagernes forsvarlige førelse.</w:t>
      </w:r>
    </w:p>
    <w:p w14:paraId="3C30B45B"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t>Såfremt LT ikke ønsker at udnytte denne ret, kan LG efter forud at have underrettet LT herom for egen regning indlevere patentansøgning, for så vidt LG er opfinderen.</w:t>
      </w:r>
    </w:p>
    <w:p w14:paraId="3383E59F"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t xml:space="preserve">Meddeles der patent på en sådan ansøgning, ændres </w:t>
      </w:r>
      <w:proofErr w:type="spellStart"/>
      <w:r w:rsidRPr="00C72745">
        <w:rPr>
          <w:rFonts w:ascii="IBM Plex Sans" w:hAnsi="IBM Plex Sans" w:cs="Arial"/>
          <w:sz w:val="22"/>
          <w:szCs w:val="22"/>
          <w:lang w:val="da-DK"/>
        </w:rPr>
        <w:t>LT's</w:t>
      </w:r>
      <w:proofErr w:type="spellEnd"/>
      <w:r w:rsidRPr="00C72745">
        <w:rPr>
          <w:rFonts w:ascii="IBM Plex Sans" w:hAnsi="IBM Plex Sans" w:cs="Arial"/>
          <w:sz w:val="22"/>
          <w:szCs w:val="22"/>
          <w:lang w:val="da-DK"/>
        </w:rPr>
        <w:t xml:space="preserve"> eneret i Territoriet til at være en ikke-eksklusiv ret, gældende fra patentets udstedelse.</w:t>
      </w:r>
    </w:p>
    <w:p w14:paraId="1257FE93" w14:textId="27173AB5"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t>De oven for anførte bestemmelser gælder også for ansøgninger om anden immaterialretlig beskyttelse af opfindelser o. lign. gjort i naturlig forlængelse af Opfindelsen.</w:t>
      </w:r>
    </w:p>
    <w:p w14:paraId="54CE0CDE"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b/>
          <w:bCs/>
          <w:sz w:val="22"/>
          <w:szCs w:val="22"/>
          <w:lang w:val="da-DK"/>
        </w:rPr>
        <w:t>§ 11. Patentansøgninger og patenter</w:t>
      </w:r>
    </w:p>
    <w:p w14:paraId="7FD074B7"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t>Senest d. xx indleverer LT PCT-ansøgning designeret for alle lande, inklusive EPK-landene.</w:t>
      </w:r>
    </w:p>
    <w:p w14:paraId="7B1A8909"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t>LT kan frigøre sig for denne forpligtelse ved i stedet at indlevere national patentansøgning i xx af LT valgte lande.</w:t>
      </w:r>
    </w:p>
    <w:p w14:paraId="44082883"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t xml:space="preserve">Ansøgningerne indleveres for </w:t>
      </w:r>
      <w:proofErr w:type="spellStart"/>
      <w:r w:rsidRPr="00C72745">
        <w:rPr>
          <w:rFonts w:ascii="IBM Plex Sans" w:hAnsi="IBM Plex Sans" w:cs="Arial"/>
          <w:sz w:val="22"/>
          <w:szCs w:val="22"/>
          <w:lang w:val="da-DK"/>
        </w:rPr>
        <w:t>LT's</w:t>
      </w:r>
      <w:proofErr w:type="spellEnd"/>
      <w:r w:rsidRPr="00C72745">
        <w:rPr>
          <w:rFonts w:ascii="IBM Plex Sans" w:hAnsi="IBM Plex Sans" w:cs="Arial"/>
          <w:sz w:val="22"/>
          <w:szCs w:val="22"/>
          <w:lang w:val="da-DK"/>
        </w:rPr>
        <w:t xml:space="preserve"> regning, men med angivelse af LG som opfinder og ansøger.</w:t>
      </w:r>
    </w:p>
    <w:p w14:paraId="08070861"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t>Vælger LT at indlevere PCT-ansøgning, skal denne videreføres rettidigt til national fase.</w:t>
      </w:r>
    </w:p>
    <w:p w14:paraId="10D91C1A"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t>LT er ansvarlig for, at patentsagerne føres forsvarligt, og at de hermed forbundne udgifter betales rettidigt.</w:t>
      </w:r>
    </w:p>
    <w:p w14:paraId="7417C106"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t>LT forpligter sig til at anvende anerkendt patentbureau og sørger for, at al korrespondance mellem LT og patentbureauet tilsendes LG i kopi.</w:t>
      </w:r>
    </w:p>
    <w:p w14:paraId="4E54EA21"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t xml:space="preserve">Såfremt en af LT indleveret patentansøgning afslås, nedsættes licensafgiften af </w:t>
      </w:r>
      <w:proofErr w:type="spellStart"/>
      <w:r w:rsidRPr="00C72745">
        <w:rPr>
          <w:rFonts w:ascii="IBM Plex Sans" w:hAnsi="IBM Plex Sans" w:cs="Arial"/>
          <w:sz w:val="22"/>
          <w:szCs w:val="22"/>
          <w:lang w:val="da-DK"/>
        </w:rPr>
        <w:t>LT's</w:t>
      </w:r>
      <w:proofErr w:type="spellEnd"/>
      <w:r w:rsidRPr="00C72745">
        <w:rPr>
          <w:rFonts w:ascii="IBM Plex Sans" w:hAnsi="IBM Plex Sans" w:cs="Arial"/>
          <w:sz w:val="22"/>
          <w:szCs w:val="22"/>
          <w:lang w:val="da-DK"/>
        </w:rPr>
        <w:t xml:space="preserve"> salg i det pågældende land til halvdelen med virkning fra datoen for det endelige afslag.</w:t>
      </w:r>
    </w:p>
    <w:p w14:paraId="2AA6E402"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t>Tilsvarende nedsættes minimumslicensafgiften med et beløb svarende til halvdelen af den andel, det pågældende land har i minimumslicensafgiften, beregnet på grundlag af forholdet mellem salget i det pågældende land i sidste kalenderår før afslaget og det samlede salg i hele verden i samme periode.</w:t>
      </w:r>
    </w:p>
    <w:p w14:paraId="5F85E968"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lastRenderedPageBreak/>
        <w:t>I de lande, hvori LT ikke indleverer patentansøgning, er LG berettiget til at indlevere ansøgning.</w:t>
      </w:r>
    </w:p>
    <w:p w14:paraId="62359CC2" w14:textId="0032AB7F"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t xml:space="preserve">Meddeles der patent i henhold til sådan ansøgning, ændres </w:t>
      </w:r>
      <w:proofErr w:type="spellStart"/>
      <w:r w:rsidRPr="00C72745">
        <w:rPr>
          <w:rFonts w:ascii="IBM Plex Sans" w:hAnsi="IBM Plex Sans" w:cs="Arial"/>
          <w:sz w:val="22"/>
          <w:szCs w:val="22"/>
          <w:lang w:val="da-DK"/>
        </w:rPr>
        <w:t>LT's</w:t>
      </w:r>
      <w:proofErr w:type="spellEnd"/>
      <w:r w:rsidRPr="00C72745">
        <w:rPr>
          <w:rFonts w:ascii="IBM Plex Sans" w:hAnsi="IBM Plex Sans" w:cs="Arial"/>
          <w:sz w:val="22"/>
          <w:szCs w:val="22"/>
          <w:lang w:val="da-DK"/>
        </w:rPr>
        <w:t xml:space="preserve"> eneret for det pågældende land til at være ikke-eksklusiv, gældende fra datoen for det pågældende patents udstedelse.</w:t>
      </w:r>
    </w:p>
    <w:p w14:paraId="3DCBAA00"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b/>
          <w:bCs/>
          <w:sz w:val="22"/>
          <w:szCs w:val="22"/>
          <w:lang w:val="da-DK"/>
        </w:rPr>
        <w:t>§ 12. Krænkelse af tredjemands rettigheder</w:t>
      </w:r>
    </w:p>
    <w:p w14:paraId="0C7B8FAC" w14:textId="4F9734AA"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t>LG erklærer, at Opfindelsen ved kontraktens indgåelse LG bekendt ikke krænker tredjemands bedre rettigheder, men LG indestår ikke herfor.</w:t>
      </w:r>
    </w:p>
    <w:p w14:paraId="7B436D08"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b/>
          <w:bCs/>
          <w:sz w:val="22"/>
          <w:szCs w:val="22"/>
          <w:lang w:val="da-DK"/>
        </w:rPr>
        <w:t>§ 13. Sublicens</w:t>
      </w:r>
    </w:p>
    <w:p w14:paraId="64BACAE8"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t>Såfremt LT ønsker helt eller delvis at overdrage sine rettigheder i henhold til denne kontrakt til tredjemand som sublicenstager, kan dette alene ske med LG's forudgående skriftlige samtykke.</w:t>
      </w:r>
    </w:p>
    <w:p w14:paraId="6D0721FC"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t>LG's nægtelse af sådant samtykke skal være objektivt begrundet.</w:t>
      </w:r>
    </w:p>
    <w:p w14:paraId="45AFBC7A"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t>Anden overdragelse kan ikke finde sted.</w:t>
      </w:r>
    </w:p>
    <w:p w14:paraId="01DE7EF3"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t>Alle indtægter ved en sådan overdragelse, herunder såvel éngangsbetalinger som licensindtægter, deles med xx til LG, xx til LT.</w:t>
      </w:r>
    </w:p>
    <w:p w14:paraId="4FB8CF99"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t>Alle overdragelser finder sted efter denne kontrakts bestemmelser.</w:t>
      </w:r>
    </w:p>
    <w:p w14:paraId="4026AED3" w14:textId="1723F03A"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t xml:space="preserve">Såfremt LT ejer xx % eller mere af kapitalen i den ny </w:t>
      </w:r>
      <w:proofErr w:type="spellStart"/>
      <w:r w:rsidRPr="00C72745">
        <w:rPr>
          <w:rFonts w:ascii="IBM Plex Sans" w:hAnsi="IBM Plex Sans" w:cs="Arial"/>
          <w:sz w:val="22"/>
          <w:szCs w:val="22"/>
          <w:lang w:val="da-DK"/>
        </w:rPr>
        <w:t>sublicenstagers</w:t>
      </w:r>
      <w:proofErr w:type="spellEnd"/>
      <w:r w:rsidRPr="00C72745">
        <w:rPr>
          <w:rFonts w:ascii="IBM Plex Sans" w:hAnsi="IBM Plex Sans" w:cs="Arial"/>
          <w:sz w:val="22"/>
          <w:szCs w:val="22"/>
          <w:lang w:val="da-DK"/>
        </w:rPr>
        <w:t xml:space="preserve"> virksomhed, eller </w:t>
      </w:r>
      <w:proofErr w:type="spellStart"/>
      <w:r w:rsidRPr="00C72745">
        <w:rPr>
          <w:rFonts w:ascii="IBM Plex Sans" w:hAnsi="IBM Plex Sans" w:cs="Arial"/>
          <w:sz w:val="22"/>
          <w:szCs w:val="22"/>
          <w:lang w:val="da-DK"/>
        </w:rPr>
        <w:t>sublicenstagers</w:t>
      </w:r>
      <w:proofErr w:type="spellEnd"/>
      <w:r w:rsidRPr="00C72745">
        <w:rPr>
          <w:rFonts w:ascii="IBM Plex Sans" w:hAnsi="IBM Plex Sans" w:cs="Arial"/>
          <w:sz w:val="22"/>
          <w:szCs w:val="22"/>
          <w:lang w:val="da-DK"/>
        </w:rPr>
        <w:t xml:space="preserve"> virksomhed ejer mere end xx % af kapitalen i </w:t>
      </w:r>
      <w:proofErr w:type="spellStart"/>
      <w:r w:rsidRPr="00C72745">
        <w:rPr>
          <w:rFonts w:ascii="IBM Plex Sans" w:hAnsi="IBM Plex Sans" w:cs="Arial"/>
          <w:sz w:val="22"/>
          <w:szCs w:val="22"/>
          <w:lang w:val="da-DK"/>
        </w:rPr>
        <w:t>LT's</w:t>
      </w:r>
      <w:proofErr w:type="spellEnd"/>
      <w:r w:rsidRPr="00C72745">
        <w:rPr>
          <w:rFonts w:ascii="IBM Plex Sans" w:hAnsi="IBM Plex Sans" w:cs="Arial"/>
          <w:sz w:val="22"/>
          <w:szCs w:val="22"/>
          <w:lang w:val="da-DK"/>
        </w:rPr>
        <w:t xml:space="preserve"> virksomhed, anses overdragelsen ikke som en overdragelse, og LG modtager licensafgift af den ny </w:t>
      </w:r>
      <w:proofErr w:type="spellStart"/>
      <w:r w:rsidRPr="00C72745">
        <w:rPr>
          <w:rFonts w:ascii="IBM Plex Sans" w:hAnsi="IBM Plex Sans" w:cs="Arial"/>
          <w:sz w:val="22"/>
          <w:szCs w:val="22"/>
          <w:lang w:val="da-DK"/>
        </w:rPr>
        <w:t>sublicenstagers</w:t>
      </w:r>
      <w:proofErr w:type="spellEnd"/>
      <w:r w:rsidRPr="00C72745">
        <w:rPr>
          <w:rFonts w:ascii="IBM Plex Sans" w:hAnsi="IBM Plex Sans" w:cs="Arial"/>
          <w:sz w:val="22"/>
          <w:szCs w:val="22"/>
          <w:lang w:val="da-DK"/>
        </w:rPr>
        <w:t xml:space="preserve"> salg efter bestemmelserne i § 4.</w:t>
      </w:r>
    </w:p>
    <w:p w14:paraId="270DA820"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b/>
          <w:bCs/>
          <w:sz w:val="22"/>
          <w:szCs w:val="22"/>
          <w:lang w:val="da-DK"/>
        </w:rPr>
        <w:t xml:space="preserve">§ 14. Retssag er </w:t>
      </w:r>
      <w:proofErr w:type="spellStart"/>
      <w:r w:rsidRPr="00C72745">
        <w:rPr>
          <w:rFonts w:ascii="IBM Plex Sans" w:hAnsi="IBM Plex Sans" w:cs="Arial"/>
          <w:b/>
          <w:bCs/>
          <w:sz w:val="22"/>
          <w:szCs w:val="22"/>
          <w:lang w:val="da-DK"/>
        </w:rPr>
        <w:t>o.lign</w:t>
      </w:r>
      <w:proofErr w:type="spellEnd"/>
      <w:r w:rsidRPr="00C72745">
        <w:rPr>
          <w:rFonts w:ascii="IBM Plex Sans" w:hAnsi="IBM Plex Sans" w:cs="Arial"/>
          <w:b/>
          <w:bCs/>
          <w:sz w:val="22"/>
          <w:szCs w:val="22"/>
          <w:lang w:val="da-DK"/>
        </w:rPr>
        <w:t>.</w:t>
      </w:r>
    </w:p>
    <w:p w14:paraId="51F7A24D"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t xml:space="preserve">Udgiften til eventuelle retssager i forbindelse med </w:t>
      </w:r>
      <w:proofErr w:type="spellStart"/>
      <w:r w:rsidRPr="00C72745">
        <w:rPr>
          <w:rFonts w:ascii="IBM Plex Sans" w:hAnsi="IBM Plex Sans" w:cs="Arial"/>
          <w:sz w:val="22"/>
          <w:szCs w:val="22"/>
          <w:lang w:val="da-DK"/>
        </w:rPr>
        <w:t>LT's</w:t>
      </w:r>
      <w:proofErr w:type="spellEnd"/>
      <w:r w:rsidRPr="00C72745">
        <w:rPr>
          <w:rFonts w:ascii="IBM Plex Sans" w:hAnsi="IBM Plex Sans" w:cs="Arial"/>
          <w:sz w:val="22"/>
          <w:szCs w:val="22"/>
          <w:lang w:val="da-DK"/>
        </w:rPr>
        <w:t xml:space="preserve"> udnyttelse af Opfindelsen, hvad enten sådanne skyldes tredjemands krænkelse af Opfindelsen, eller at tredjemand hævder at være krænket, afholdes af LT.</w:t>
      </w:r>
    </w:p>
    <w:p w14:paraId="241A332D"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t xml:space="preserve">LG er forpligtet til uden beregning at yde LT ikke-økonomisk bistand i rimeligt omfang til </w:t>
      </w:r>
      <w:proofErr w:type="spellStart"/>
      <w:r w:rsidRPr="00C72745">
        <w:rPr>
          <w:rFonts w:ascii="IBM Plex Sans" w:hAnsi="IBM Plex Sans" w:cs="Arial"/>
          <w:sz w:val="22"/>
          <w:szCs w:val="22"/>
          <w:lang w:val="da-DK"/>
        </w:rPr>
        <w:t>LT's</w:t>
      </w:r>
      <w:proofErr w:type="spellEnd"/>
      <w:r w:rsidRPr="00C72745">
        <w:rPr>
          <w:rFonts w:ascii="IBM Plex Sans" w:hAnsi="IBM Plex Sans" w:cs="Arial"/>
          <w:sz w:val="22"/>
          <w:szCs w:val="22"/>
          <w:lang w:val="da-DK"/>
        </w:rPr>
        <w:t xml:space="preserve"> førelse af sådanne sager.</w:t>
      </w:r>
    </w:p>
    <w:p w14:paraId="1C29F89A"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t>LT er ikke forpligtet til at anlægge retssag i tilfælde, hvor tredjemand har krænket Opfindelsen. Dette afholder ikke LG fra selv at anlægge retssag.</w:t>
      </w:r>
    </w:p>
    <w:p w14:paraId="691673DE" w14:textId="62998B5B"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t>LT holder LG skadesløs for ethvert produktansvarskrav og tegner forsikring i det omfang, hvori det er fornødent og muligt.</w:t>
      </w:r>
    </w:p>
    <w:p w14:paraId="1D67FF1E"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b/>
          <w:bCs/>
          <w:sz w:val="22"/>
          <w:szCs w:val="22"/>
          <w:lang w:val="da-DK"/>
        </w:rPr>
        <w:t>§ 15. Kontraktens ophør</w:t>
      </w:r>
    </w:p>
    <w:p w14:paraId="39B2D1DA"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t>Nærværende kontrakt ophører uden opsigelse ved udløbet af længst løbende patent, dog senest d. xx.</w:t>
      </w:r>
    </w:p>
    <w:p w14:paraId="1C297BA1"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lastRenderedPageBreak/>
        <w:t>Parterne kan inden da skriftligt opsige kontrakten med x måneders varsel til udgangen af en måned, for LG's vedkommende dog alene, såfremt den faktisk indtjente licensafgift i xx på hinanden følgende kalenderår fra og med d. xx. har været mindre end minimumslicensafgiften.</w:t>
      </w:r>
    </w:p>
    <w:p w14:paraId="7E788462"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t>Efter en sådan opsigelse har LT krav på en genforhandling af kontrakten. Såfremt genforhandlingen ikke har ført til ny aftale ved udløbet af den ovennævnte x måneders periode, er LG frit stillet.</w:t>
      </w:r>
    </w:p>
    <w:p w14:paraId="707BACF1"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t>Ved kontraktens ophør går de ved nærværende kontrakt fra LG til LT overdragne rettigheder tilbage til LG til vederlagsfri rådighed, tillige med diverse knowhow, forbedringer, prototyper, tegninger m.v. frembragt i kontraktens løbetid.</w:t>
      </w:r>
    </w:p>
    <w:p w14:paraId="53A697CE"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t>Dette gælder ikke ved ophør ved udløbet af det længst løbende patent. Da kan LT vederlagsfrit benytte de overdragne rettigheder tillige med diverse knowhow, forbedringer, prototyper, tegninger m.v. frembragt i kontraktens løbetid.</w:t>
      </w:r>
    </w:p>
    <w:p w14:paraId="391A9639"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t>Ved kontraktens ophør som følge af LG's misligholdelse, forbliver rettighederne hos LT, der herefter vederlagsfrit kan fortsætte produktion og salg.</w:t>
      </w:r>
    </w:p>
    <w:p w14:paraId="4C01E11F"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t>Nærværende kontrakt er gældende, selv om et eller flere ansøgte patenter inden for Territoriet ikke meddeles eller bortfalder.</w:t>
      </w:r>
    </w:p>
    <w:p w14:paraId="7F2648FC"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t xml:space="preserve">I så tilfælde nedsættes licensafgiften af </w:t>
      </w:r>
      <w:proofErr w:type="spellStart"/>
      <w:r w:rsidRPr="00C72745">
        <w:rPr>
          <w:rFonts w:ascii="IBM Plex Sans" w:hAnsi="IBM Plex Sans" w:cs="Arial"/>
          <w:sz w:val="22"/>
          <w:szCs w:val="22"/>
          <w:lang w:val="da-DK"/>
        </w:rPr>
        <w:t>LT's</w:t>
      </w:r>
      <w:proofErr w:type="spellEnd"/>
      <w:r w:rsidRPr="00C72745">
        <w:rPr>
          <w:rFonts w:ascii="IBM Plex Sans" w:hAnsi="IBM Plex Sans" w:cs="Arial"/>
          <w:sz w:val="22"/>
          <w:szCs w:val="22"/>
          <w:lang w:val="da-DK"/>
        </w:rPr>
        <w:t xml:space="preserve"> salg i det pågældende land til halvdelen med virkning fra datoen for det endelige afslag eller bortfaldet af patentet.</w:t>
      </w:r>
    </w:p>
    <w:p w14:paraId="7ACAECDF"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t xml:space="preserve">Licensafgiften betales da for den overdragne knowhow, og så længe </w:t>
      </w:r>
      <w:proofErr w:type="spellStart"/>
      <w:r w:rsidRPr="00C72745">
        <w:rPr>
          <w:rFonts w:ascii="IBM Plex Sans" w:hAnsi="IBM Plex Sans" w:cs="Arial"/>
          <w:sz w:val="22"/>
          <w:szCs w:val="22"/>
          <w:lang w:val="da-DK"/>
        </w:rPr>
        <w:t>knowhow'en</w:t>
      </w:r>
      <w:proofErr w:type="spellEnd"/>
      <w:r w:rsidRPr="00C72745">
        <w:rPr>
          <w:rFonts w:ascii="IBM Plex Sans" w:hAnsi="IBM Plex Sans" w:cs="Arial"/>
          <w:sz w:val="22"/>
          <w:szCs w:val="22"/>
          <w:lang w:val="da-DK"/>
        </w:rPr>
        <w:t xml:space="preserve"> ikke er blevet almindelig kendt.</w:t>
      </w:r>
    </w:p>
    <w:p w14:paraId="299A5ACD" w14:textId="615D0A72"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t>Tilsvarende nedsættes minimumslicensafgiften med et beløb svarende til halvdelen af den andel, det pågældende land har i minimumslicensafgiften, beregnet på grundlag af forholdet mellem salget i det pågældende land i sidste kalenderår før afslaget og det samlede salg i hele verden i samme periode.</w:t>
      </w:r>
    </w:p>
    <w:p w14:paraId="219A3D0C"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b/>
          <w:bCs/>
          <w:sz w:val="22"/>
          <w:szCs w:val="22"/>
          <w:lang w:val="da-DK"/>
        </w:rPr>
        <w:t>§ 16. Misligholdelse</w:t>
      </w:r>
    </w:p>
    <w:p w14:paraId="3524AF48"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t>Ved væsentlig misligholdelse af nærværende kontrakt kan den krænkede part skriftligt ved anbefalet brev inden xx dage efter konstateringen af misligholdelsen kræve, at den misligholdende berigtiger forholdet.</w:t>
      </w:r>
    </w:p>
    <w:p w14:paraId="5B65204A"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t>Er sådan berigtigelse ikke sket inden xx dage efter brevets afsendelse, anses kontrakten som hævet.</w:t>
      </w:r>
    </w:p>
    <w:p w14:paraId="5194AD7E"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t>Såfremt LT erklæres konkurs, træder i likvidation eller betalingsstandsning, anses dette som væsentlig misligholdelse.</w:t>
      </w:r>
    </w:p>
    <w:p w14:paraId="4FD0A938"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t>Væsentlig misligholdelse er i alle tilfælde en overtrædelse af nærværende kontakts bestemmelser.</w:t>
      </w:r>
    </w:p>
    <w:p w14:paraId="12F89925"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sz w:val="22"/>
          <w:szCs w:val="22"/>
          <w:lang w:val="da-DK"/>
        </w:rPr>
        <w:t> </w:t>
      </w:r>
    </w:p>
    <w:p w14:paraId="6617E513"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b/>
          <w:bCs/>
          <w:sz w:val="22"/>
          <w:szCs w:val="22"/>
          <w:lang w:val="da-DK"/>
        </w:rPr>
        <w:lastRenderedPageBreak/>
        <w:t>§ 17. Hemmeligholdelsespligt</w:t>
      </w:r>
    </w:p>
    <w:p w14:paraId="6E502858" w14:textId="49668FC1" w:rsidR="00C72745" w:rsidRPr="00C72745" w:rsidRDefault="00C72745" w:rsidP="00C72745">
      <w:pPr>
        <w:pStyle w:val="NormalWeb"/>
        <w:spacing w:line="276" w:lineRule="auto"/>
        <w:rPr>
          <w:rFonts w:ascii="IBM Plex Sans" w:hAnsi="IBM Plex Sans" w:cs="Arial"/>
          <w:sz w:val="22"/>
          <w:szCs w:val="22"/>
          <w:lang w:val="da-DK"/>
        </w:rPr>
      </w:pPr>
      <w:r w:rsidRPr="00C72745">
        <w:rPr>
          <w:rFonts w:ascii="IBM Plex Sans" w:hAnsi="IBM Plex Sans" w:cs="Arial"/>
          <w:sz w:val="22"/>
          <w:szCs w:val="22"/>
          <w:lang w:val="da-DK"/>
        </w:rPr>
        <w:t>Såvel i kontraktens løbetid som efter dennes ophør, påhviler der Parterne gensidig hemmeligholdelsespligt med hensyn til Opfindelsen, den omhandlede knowhow samt almindelige forretningsmæssige fortrolige forhold hos den ene part, som den anden part måtte blive bekendt.</w:t>
      </w:r>
    </w:p>
    <w:p w14:paraId="1428B5A0" w14:textId="77777777" w:rsidR="00C72745" w:rsidRPr="00C72745" w:rsidRDefault="00C72745" w:rsidP="00C72745">
      <w:pPr>
        <w:pStyle w:val="PlainText"/>
        <w:spacing w:line="276" w:lineRule="auto"/>
        <w:rPr>
          <w:rFonts w:ascii="IBM Plex Sans" w:eastAsia="MS Mincho" w:hAnsi="IBM Plex Sans"/>
          <w:b/>
          <w:sz w:val="22"/>
          <w:szCs w:val="22"/>
        </w:rPr>
      </w:pPr>
      <w:r w:rsidRPr="00C72745">
        <w:rPr>
          <w:rFonts w:ascii="IBM Plex Sans" w:eastAsia="MS Mincho" w:hAnsi="IBM Plex Sans"/>
          <w:b/>
          <w:sz w:val="22"/>
          <w:szCs w:val="22"/>
        </w:rPr>
        <w:t>§ 18. Behandling af personhenførbare oplysninger</w:t>
      </w:r>
    </w:p>
    <w:p w14:paraId="78CC8620" w14:textId="77777777" w:rsidR="00C72745" w:rsidRPr="00C72745" w:rsidRDefault="00C72745" w:rsidP="00C72745">
      <w:pPr>
        <w:spacing w:line="276" w:lineRule="auto"/>
        <w:rPr>
          <w:rFonts w:ascii="IBM Plex Sans" w:hAnsi="IBM Plex Sans" w:cs="Arial"/>
          <w:sz w:val="22"/>
          <w:szCs w:val="22"/>
          <w:lang w:eastAsia="en-GB"/>
        </w:rPr>
      </w:pPr>
    </w:p>
    <w:p w14:paraId="59427302" w14:textId="77777777" w:rsidR="00C72745" w:rsidRPr="00C72745" w:rsidRDefault="00C72745" w:rsidP="00C72745">
      <w:pPr>
        <w:spacing w:line="276" w:lineRule="auto"/>
        <w:rPr>
          <w:rFonts w:ascii="IBM Plex Sans" w:hAnsi="IBM Plex Sans" w:cs="Arial"/>
          <w:sz w:val="22"/>
          <w:szCs w:val="22"/>
          <w:lang w:eastAsia="en-GB"/>
        </w:rPr>
      </w:pPr>
      <w:r w:rsidRPr="00C72745">
        <w:rPr>
          <w:rFonts w:ascii="IBM Plex Sans" w:hAnsi="IBM Plex Sans" w:cs="Arial"/>
          <w:sz w:val="22"/>
          <w:szCs w:val="22"/>
          <w:lang w:eastAsia="en-GB"/>
        </w:rPr>
        <w:t xml:space="preserve">[LG/LT] behandler personoplysninger under behørig iagttagelse af databeskyttelsesforordningen og -loven. Oplysninger om [LG/LT] navn, adresse, e-mail, telefonnummer, mv. benyttes alene i forbindelse med [LG/LT] bestilling, kommunikation og [andet specifikt formål]. [LG/LT] efterlever de registreredes rettigheder (bl.a. ret til indsigt, berigtigelse, sletning, begrænsning af behandling, indsigelse, </w:t>
      </w:r>
      <w:proofErr w:type="spellStart"/>
      <w:r w:rsidRPr="00C72745">
        <w:rPr>
          <w:rFonts w:ascii="IBM Plex Sans" w:hAnsi="IBM Plex Sans" w:cs="Arial"/>
          <w:sz w:val="22"/>
          <w:szCs w:val="22"/>
          <w:lang w:eastAsia="en-GB"/>
        </w:rPr>
        <w:t>dataportabilitet</w:t>
      </w:r>
      <w:proofErr w:type="spellEnd"/>
      <w:r w:rsidRPr="00C72745">
        <w:rPr>
          <w:rFonts w:ascii="IBM Plex Sans" w:hAnsi="IBM Plex Sans" w:cs="Arial"/>
          <w:sz w:val="22"/>
          <w:szCs w:val="22"/>
          <w:lang w:eastAsia="en-GB"/>
        </w:rPr>
        <w:t xml:space="preserve">, klage og ret til ikke at være genstand for en afgørelse, der alene er baseret på automatisk behandling, herunder profilering). [LG/LT] opbevarer oplysningerne så længe, det er nødvendigt for det formål, hvortil oplysningerne behandles. [LG/LT] hverken videregiver, sælger eller på anden måde overdrager oplysninger til tredjemand, medmindre kunden har givet accept til dette. Ønsker [LG/LT] oplysninger om, hvilke data der bliver behandlet, at få data slettet eller korrigeret, kan [LG/LT] kontakte [LG/LT kontaktoplysninger, evt. kontaktperson]. </w:t>
      </w:r>
    </w:p>
    <w:p w14:paraId="6542F774"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b/>
          <w:bCs/>
          <w:sz w:val="22"/>
          <w:szCs w:val="22"/>
          <w:lang w:val="da-DK"/>
        </w:rPr>
        <w:t>§ 19. Tvister</w:t>
      </w:r>
    </w:p>
    <w:p w14:paraId="551C1447"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sz w:val="22"/>
          <w:szCs w:val="22"/>
          <w:lang w:val="da-DK"/>
        </w:rPr>
        <w:t>Eventuelle tvister mellem Parterne, herunder om nærværende kontrakts fortolkning, afgøres ved voldgift efter dansk ret og ved dansk værneting.</w:t>
      </w:r>
    </w:p>
    <w:p w14:paraId="3142BA4A" w14:textId="77777777" w:rsidR="00C72745" w:rsidRPr="00C72745" w:rsidRDefault="00C72745" w:rsidP="00C72745">
      <w:pPr>
        <w:pStyle w:val="NormalWeb"/>
        <w:spacing w:line="276" w:lineRule="auto"/>
        <w:rPr>
          <w:rFonts w:ascii="IBM Plex Sans" w:hAnsi="IBM Plex Sans"/>
          <w:sz w:val="22"/>
          <w:szCs w:val="22"/>
          <w:lang w:val="da-DK"/>
        </w:rPr>
      </w:pPr>
      <w:r w:rsidRPr="00C72745">
        <w:rPr>
          <w:rFonts w:ascii="IBM Plex Sans" w:hAnsi="IBM Plex Sans" w:cs="Arial"/>
          <w:b/>
          <w:bCs/>
          <w:sz w:val="22"/>
          <w:szCs w:val="22"/>
          <w:lang w:val="da-DK"/>
        </w:rPr>
        <w:t>§ 20. Underskrift</w:t>
      </w:r>
    </w:p>
    <w:p w14:paraId="67F18232" w14:textId="77777777" w:rsidR="00C72745" w:rsidRPr="00C72745" w:rsidRDefault="00C72745" w:rsidP="00C72745">
      <w:pPr>
        <w:spacing w:line="276" w:lineRule="auto"/>
        <w:rPr>
          <w:rFonts w:ascii="IBM Plex Sans" w:hAnsi="IBM Plex Sans"/>
          <w:sz w:val="22"/>
          <w:szCs w:val="22"/>
        </w:rPr>
      </w:pPr>
    </w:p>
    <w:p w14:paraId="08206A9B" w14:textId="5EA678D9" w:rsidR="00C72745" w:rsidRPr="00C72745" w:rsidRDefault="00C72745" w:rsidP="00C72745">
      <w:pPr>
        <w:spacing w:line="276" w:lineRule="auto"/>
        <w:rPr>
          <w:rFonts w:ascii="IBM Plex Sans" w:hAnsi="IBM Plex Sans" w:cs="Segoe UI"/>
          <w:sz w:val="22"/>
          <w:szCs w:val="22"/>
        </w:rPr>
      </w:pPr>
    </w:p>
    <w:p w14:paraId="3377140B" w14:textId="7A48C375" w:rsidR="00C72745" w:rsidRPr="00C72745" w:rsidRDefault="00C72745" w:rsidP="00C72745">
      <w:pPr>
        <w:spacing w:line="276" w:lineRule="auto"/>
        <w:rPr>
          <w:rFonts w:ascii="IBM Plex Sans" w:hAnsi="IBM Plex Sans" w:cs="Segoe UI"/>
          <w:sz w:val="22"/>
          <w:szCs w:val="22"/>
        </w:rPr>
      </w:pPr>
    </w:p>
    <w:p w14:paraId="547F5B0F" w14:textId="34D53C85" w:rsidR="00C72745" w:rsidRPr="00C72745" w:rsidRDefault="00C72745" w:rsidP="00C72745">
      <w:pPr>
        <w:spacing w:line="276" w:lineRule="auto"/>
        <w:rPr>
          <w:rFonts w:ascii="IBM Plex Sans" w:hAnsi="IBM Plex Sans" w:cs="Segoe UI"/>
          <w:sz w:val="22"/>
          <w:szCs w:val="22"/>
        </w:rPr>
      </w:pPr>
    </w:p>
    <w:p w14:paraId="737F8DA2" w14:textId="7F697F73" w:rsidR="00C72745" w:rsidRPr="00C72745" w:rsidRDefault="00C72745" w:rsidP="00C72745">
      <w:pPr>
        <w:spacing w:line="276" w:lineRule="auto"/>
        <w:rPr>
          <w:rFonts w:ascii="IBM Plex Sans" w:hAnsi="IBM Plex Sans" w:cs="Segoe UI"/>
          <w:sz w:val="22"/>
          <w:szCs w:val="22"/>
        </w:rPr>
      </w:pPr>
    </w:p>
    <w:p w14:paraId="0D4B6BDF" w14:textId="77777777" w:rsidR="00C72745" w:rsidRPr="00C72745" w:rsidRDefault="00C72745" w:rsidP="00C72745">
      <w:pPr>
        <w:spacing w:line="276" w:lineRule="auto"/>
        <w:rPr>
          <w:rFonts w:ascii="IBM Plex Sans" w:hAnsi="IBM Plex Sans" w:cs="Segoe UI"/>
          <w:sz w:val="22"/>
          <w:szCs w:val="22"/>
        </w:rPr>
      </w:pPr>
    </w:p>
    <w:sectPr w:rsidR="00C72745" w:rsidRPr="00C72745" w:rsidSect="00DF07B3">
      <w:pgSz w:w="11907" w:h="16840" w:code="9"/>
      <w:pgMar w:top="1134" w:right="1361" w:bottom="1134" w:left="1361" w:header="708" w:footer="708"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EAA47" w14:textId="77777777" w:rsidR="00E54439" w:rsidRDefault="00E54439" w:rsidP="00226AF2">
      <w:r>
        <w:separator/>
      </w:r>
    </w:p>
  </w:endnote>
  <w:endnote w:type="continuationSeparator" w:id="0">
    <w:p w14:paraId="784B0C04" w14:textId="77777777" w:rsidR="00E54439" w:rsidRDefault="00E54439" w:rsidP="00226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BM Plex Sans">
    <w:altName w:val="Calibri"/>
    <w:charset w:val="00"/>
    <w:family w:val="swiss"/>
    <w:pitch w:val="variable"/>
    <w:sig w:usb0="A00002EF" w:usb1="5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rPr>
      <w:id w:val="-178277558"/>
      <w:docPartObj>
        <w:docPartGallery w:val="Page Numbers (Bottom of Page)"/>
        <w:docPartUnique/>
      </w:docPartObj>
    </w:sdtPr>
    <w:sdtEndPr/>
    <w:sdtContent>
      <w:sdt>
        <w:sdtPr>
          <w:rPr>
            <w:rFonts w:ascii="Segoe UI" w:hAnsi="Segoe UI" w:cs="Segoe UI"/>
          </w:rPr>
          <w:id w:val="-1769616900"/>
          <w:docPartObj>
            <w:docPartGallery w:val="Page Numbers (Top of Page)"/>
            <w:docPartUnique/>
          </w:docPartObj>
        </w:sdtPr>
        <w:sdtEndPr/>
        <w:sdtContent>
          <w:p w14:paraId="410EC8A7" w14:textId="77777777" w:rsidR="00D90E54" w:rsidRPr="00D90E54" w:rsidRDefault="00226AF2">
            <w:pPr>
              <w:pStyle w:val="Footer"/>
              <w:jc w:val="right"/>
              <w:rPr>
                <w:rFonts w:ascii="Segoe UI" w:hAnsi="Segoe UI" w:cs="Segoe UI"/>
              </w:rPr>
            </w:pPr>
            <w:r w:rsidRPr="00D90E54">
              <w:rPr>
                <w:rFonts w:ascii="Segoe UI" w:hAnsi="Segoe UI" w:cs="Segoe UI"/>
              </w:rPr>
              <w:t xml:space="preserve">Side </w:t>
            </w:r>
            <w:r w:rsidRPr="00D90E54">
              <w:rPr>
                <w:rFonts w:ascii="Segoe UI" w:hAnsi="Segoe UI" w:cs="Segoe UI"/>
                <w:b/>
                <w:bCs/>
                <w:szCs w:val="24"/>
              </w:rPr>
              <w:fldChar w:fldCharType="begin"/>
            </w:r>
            <w:r w:rsidRPr="00D90E54">
              <w:rPr>
                <w:rFonts w:ascii="Segoe UI" w:hAnsi="Segoe UI" w:cs="Segoe UI"/>
                <w:b/>
                <w:bCs/>
              </w:rPr>
              <w:instrText>PAGE</w:instrText>
            </w:r>
            <w:r w:rsidRPr="00D90E54">
              <w:rPr>
                <w:rFonts w:ascii="Segoe UI" w:hAnsi="Segoe UI" w:cs="Segoe UI"/>
                <w:b/>
                <w:bCs/>
                <w:szCs w:val="24"/>
              </w:rPr>
              <w:fldChar w:fldCharType="separate"/>
            </w:r>
            <w:r w:rsidRPr="00D90E54">
              <w:rPr>
                <w:rFonts w:ascii="Segoe UI" w:hAnsi="Segoe UI" w:cs="Segoe UI"/>
                <w:b/>
                <w:bCs/>
              </w:rPr>
              <w:t>2</w:t>
            </w:r>
            <w:r w:rsidRPr="00D90E54">
              <w:rPr>
                <w:rFonts w:ascii="Segoe UI" w:hAnsi="Segoe UI" w:cs="Segoe UI"/>
                <w:b/>
                <w:bCs/>
                <w:szCs w:val="24"/>
              </w:rPr>
              <w:fldChar w:fldCharType="end"/>
            </w:r>
            <w:r w:rsidRPr="00D90E54">
              <w:rPr>
                <w:rFonts w:ascii="Segoe UI" w:hAnsi="Segoe UI" w:cs="Segoe UI"/>
              </w:rPr>
              <w:t xml:space="preserve"> af </w:t>
            </w:r>
            <w:r w:rsidRPr="00D90E54">
              <w:rPr>
                <w:rFonts w:ascii="Segoe UI" w:hAnsi="Segoe UI" w:cs="Segoe UI"/>
                <w:b/>
                <w:bCs/>
                <w:szCs w:val="24"/>
              </w:rPr>
              <w:fldChar w:fldCharType="begin"/>
            </w:r>
            <w:r w:rsidRPr="00D90E54">
              <w:rPr>
                <w:rFonts w:ascii="Segoe UI" w:hAnsi="Segoe UI" w:cs="Segoe UI"/>
                <w:b/>
                <w:bCs/>
              </w:rPr>
              <w:instrText>NUMPAGES</w:instrText>
            </w:r>
            <w:r w:rsidRPr="00D90E54">
              <w:rPr>
                <w:rFonts w:ascii="Segoe UI" w:hAnsi="Segoe UI" w:cs="Segoe UI"/>
                <w:b/>
                <w:bCs/>
                <w:szCs w:val="24"/>
              </w:rPr>
              <w:fldChar w:fldCharType="separate"/>
            </w:r>
            <w:r w:rsidRPr="00D90E54">
              <w:rPr>
                <w:rFonts w:ascii="Segoe UI" w:hAnsi="Segoe UI" w:cs="Segoe UI"/>
                <w:b/>
                <w:bCs/>
              </w:rPr>
              <w:t>2</w:t>
            </w:r>
            <w:r w:rsidRPr="00D90E54">
              <w:rPr>
                <w:rFonts w:ascii="Segoe UI" w:hAnsi="Segoe UI" w:cs="Segoe UI"/>
                <w:b/>
                <w:bCs/>
                <w:szCs w:val="24"/>
              </w:rPr>
              <w:fldChar w:fldCharType="end"/>
            </w:r>
          </w:p>
        </w:sdtContent>
      </w:sdt>
    </w:sdtContent>
  </w:sdt>
  <w:p w14:paraId="6F34753F" w14:textId="77777777" w:rsidR="00E9319B" w:rsidRDefault="00E544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2195641"/>
      <w:docPartObj>
        <w:docPartGallery w:val="Page Numbers (Bottom of Page)"/>
        <w:docPartUnique/>
      </w:docPartObj>
    </w:sdtPr>
    <w:sdtEndPr/>
    <w:sdtContent>
      <w:p w14:paraId="553242E3" w14:textId="77777777" w:rsidR="00E9319B" w:rsidRDefault="00E54439">
        <w:pPr>
          <w:pStyle w:val="Footer"/>
          <w:jc w:val="center"/>
        </w:pPr>
      </w:p>
    </w:sdtContent>
  </w:sdt>
  <w:p w14:paraId="043CF29C" w14:textId="77777777" w:rsidR="00E9319B" w:rsidRDefault="00E544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12034" w14:textId="77777777" w:rsidR="00E54439" w:rsidRDefault="00E54439" w:rsidP="00226AF2">
      <w:r>
        <w:separator/>
      </w:r>
    </w:p>
  </w:footnote>
  <w:footnote w:type="continuationSeparator" w:id="0">
    <w:p w14:paraId="44BB4813" w14:textId="77777777" w:rsidR="00E54439" w:rsidRDefault="00E54439" w:rsidP="00226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52359" w14:textId="5014C9CB" w:rsidR="0039240F" w:rsidRDefault="00E84850">
    <w:pPr>
      <w:pStyle w:val="Header"/>
    </w:pPr>
    <w:r>
      <w:rPr>
        <w:rFonts w:ascii="Segoe UI" w:hAnsi="Segoe UI" w:cs="Segoe UI"/>
        <w:noProof/>
        <w:sz w:val="22"/>
        <w:szCs w:val="22"/>
      </w:rPr>
      <w:drawing>
        <wp:inline distT="0" distB="0" distL="0" distR="0" wp14:anchorId="6A465C4B" wp14:editId="284F92E6">
          <wp:extent cx="4248150" cy="476250"/>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8150" cy="476250"/>
                  </a:xfrm>
                  <a:prstGeom prst="rect">
                    <a:avLst/>
                  </a:prstGeom>
                  <a:noFill/>
                  <a:ln>
                    <a:noFill/>
                  </a:ln>
                </pic:spPr>
              </pic:pic>
            </a:graphicData>
          </a:graphic>
        </wp:inline>
      </w:drawing>
    </w:r>
  </w:p>
  <w:p w14:paraId="488E6050" w14:textId="77777777" w:rsidR="00663BCA" w:rsidRDefault="00663B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DC25A6"/>
    <w:multiLevelType w:val="multilevel"/>
    <w:tmpl w:val="C9009318"/>
    <w:lvl w:ilvl="0">
      <w:start w:val="1"/>
      <w:numFmt w:val="decimal"/>
      <w:lvlText w:val="%1"/>
      <w:lvlJc w:val="left"/>
      <w:pPr>
        <w:ind w:left="1302" w:hanging="1302"/>
      </w:pPr>
      <w:rPr>
        <w:rFonts w:hint="default"/>
      </w:rPr>
    </w:lvl>
    <w:lvl w:ilvl="1">
      <w:start w:val="1"/>
      <w:numFmt w:val="decimal"/>
      <w:lvlText w:val="%1.%2"/>
      <w:lvlJc w:val="left"/>
      <w:pPr>
        <w:ind w:left="1302" w:hanging="1302"/>
      </w:pPr>
      <w:rPr>
        <w:rFonts w:hint="default"/>
      </w:rPr>
    </w:lvl>
    <w:lvl w:ilvl="2">
      <w:start w:val="1"/>
      <w:numFmt w:val="decimal"/>
      <w:lvlText w:val="%1.%2.%3"/>
      <w:lvlJc w:val="left"/>
      <w:pPr>
        <w:ind w:left="1302" w:hanging="1302"/>
      </w:pPr>
      <w:rPr>
        <w:rFonts w:hint="default"/>
      </w:rPr>
    </w:lvl>
    <w:lvl w:ilvl="3">
      <w:start w:val="1"/>
      <w:numFmt w:val="decimal"/>
      <w:lvlText w:val="%1.%2.%3.%4"/>
      <w:lvlJc w:val="left"/>
      <w:pPr>
        <w:ind w:left="1302" w:hanging="1302"/>
      </w:pPr>
      <w:rPr>
        <w:rFonts w:hint="default"/>
      </w:rPr>
    </w:lvl>
    <w:lvl w:ilvl="4">
      <w:start w:val="1"/>
      <w:numFmt w:val="decimal"/>
      <w:lvlText w:val="%1.%2.%3.%4.%5"/>
      <w:lvlJc w:val="left"/>
      <w:pPr>
        <w:ind w:left="1302" w:hanging="1302"/>
      </w:pPr>
      <w:rPr>
        <w:rFonts w:hint="default"/>
      </w:rPr>
    </w:lvl>
    <w:lvl w:ilvl="5">
      <w:start w:val="1"/>
      <w:numFmt w:val="decimal"/>
      <w:lvlText w:val="%1.%2.%3.%4.%5.%6"/>
      <w:lvlJc w:val="left"/>
      <w:pPr>
        <w:ind w:left="1302" w:hanging="1302"/>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8605123"/>
    <w:multiLevelType w:val="hybridMultilevel"/>
    <w:tmpl w:val="E4701ABA"/>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E5018A9"/>
    <w:multiLevelType w:val="hybridMultilevel"/>
    <w:tmpl w:val="4878A0E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50F46DCF"/>
    <w:multiLevelType w:val="multilevel"/>
    <w:tmpl w:val="C9009318"/>
    <w:lvl w:ilvl="0">
      <w:start w:val="1"/>
      <w:numFmt w:val="decimal"/>
      <w:lvlText w:val="%1"/>
      <w:lvlJc w:val="left"/>
      <w:pPr>
        <w:ind w:left="1302" w:hanging="1302"/>
      </w:pPr>
      <w:rPr>
        <w:rFonts w:hint="default"/>
      </w:rPr>
    </w:lvl>
    <w:lvl w:ilvl="1">
      <w:start w:val="1"/>
      <w:numFmt w:val="decimal"/>
      <w:lvlText w:val="%1.%2"/>
      <w:lvlJc w:val="left"/>
      <w:pPr>
        <w:ind w:left="1302" w:hanging="1302"/>
      </w:pPr>
      <w:rPr>
        <w:rFonts w:hint="default"/>
      </w:rPr>
    </w:lvl>
    <w:lvl w:ilvl="2">
      <w:start w:val="1"/>
      <w:numFmt w:val="decimal"/>
      <w:lvlText w:val="%1.%2.%3"/>
      <w:lvlJc w:val="left"/>
      <w:pPr>
        <w:ind w:left="1302" w:hanging="1302"/>
      </w:pPr>
      <w:rPr>
        <w:rFonts w:hint="default"/>
      </w:rPr>
    </w:lvl>
    <w:lvl w:ilvl="3">
      <w:start w:val="1"/>
      <w:numFmt w:val="decimal"/>
      <w:lvlText w:val="%1.%2.%3.%4"/>
      <w:lvlJc w:val="left"/>
      <w:pPr>
        <w:ind w:left="1302" w:hanging="1302"/>
      </w:pPr>
      <w:rPr>
        <w:rFonts w:hint="default"/>
      </w:rPr>
    </w:lvl>
    <w:lvl w:ilvl="4">
      <w:start w:val="1"/>
      <w:numFmt w:val="decimal"/>
      <w:lvlText w:val="%1.%2.%3.%4.%5"/>
      <w:lvlJc w:val="left"/>
      <w:pPr>
        <w:ind w:left="1302" w:hanging="1302"/>
      </w:pPr>
      <w:rPr>
        <w:rFonts w:hint="default"/>
      </w:rPr>
    </w:lvl>
    <w:lvl w:ilvl="5">
      <w:start w:val="1"/>
      <w:numFmt w:val="decimal"/>
      <w:lvlText w:val="%1.%2.%3.%4.%5.%6"/>
      <w:lvlJc w:val="left"/>
      <w:pPr>
        <w:ind w:left="1302" w:hanging="1302"/>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2FE3408"/>
    <w:multiLevelType w:val="hybridMultilevel"/>
    <w:tmpl w:val="0BB0C9D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64F838AD"/>
    <w:multiLevelType w:val="hybridMultilevel"/>
    <w:tmpl w:val="6B5872AC"/>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70292E5E"/>
    <w:multiLevelType w:val="multilevel"/>
    <w:tmpl w:val="72580656"/>
    <w:name w:val="Virksomhedsguiden, lister2"/>
    <w:lvl w:ilvl="0">
      <w:start w:val="1"/>
      <w:numFmt w:val="decimal"/>
      <w:pStyle w:val="Virksomhedsguiden"/>
      <w:lvlText w:val="%1"/>
      <w:lvlJc w:val="left"/>
      <w:pPr>
        <w:ind w:left="1302" w:hanging="1302"/>
      </w:pPr>
      <w:rPr>
        <w:rFonts w:ascii="Segoe UI" w:hAnsi="Segoe UI" w:hint="default"/>
        <w:b/>
        <w:i w:val="0"/>
        <w:sz w:val="20"/>
      </w:rPr>
    </w:lvl>
    <w:lvl w:ilvl="1">
      <w:start w:val="1"/>
      <w:numFmt w:val="decimal"/>
      <w:isLgl/>
      <w:lvlText w:val="%1.%2"/>
      <w:lvlJc w:val="left"/>
      <w:pPr>
        <w:ind w:left="1302" w:hanging="1302"/>
      </w:pPr>
      <w:rPr>
        <w:rFonts w:ascii="Segoe UI" w:hAnsi="Segoe UI" w:hint="default"/>
        <w:b w:val="0"/>
        <w:i w:val="0"/>
        <w:sz w:val="20"/>
      </w:rPr>
    </w:lvl>
    <w:lvl w:ilvl="2">
      <w:start w:val="1"/>
      <w:numFmt w:val="decimal"/>
      <w:isLgl/>
      <w:lvlText w:val="%1.%2.%3"/>
      <w:lvlJc w:val="left"/>
      <w:pPr>
        <w:ind w:left="1302" w:hanging="1302"/>
      </w:pPr>
      <w:rPr>
        <w:rFonts w:hint="default"/>
      </w:rPr>
    </w:lvl>
    <w:lvl w:ilvl="3">
      <w:start w:val="1"/>
      <w:numFmt w:val="decimal"/>
      <w:lvlText w:val="%1.%2.%3.%4"/>
      <w:lvlJc w:val="left"/>
      <w:pPr>
        <w:ind w:left="1302" w:hanging="1302"/>
      </w:pPr>
      <w:rPr>
        <w:rFonts w:hint="default"/>
      </w:rPr>
    </w:lvl>
    <w:lvl w:ilvl="4">
      <w:start w:val="1"/>
      <w:numFmt w:val="decimal"/>
      <w:lvlText w:val="%1.%2.%3.%4.%5"/>
      <w:lvlJc w:val="left"/>
      <w:pPr>
        <w:ind w:left="1302" w:hanging="1302"/>
      </w:pPr>
      <w:rPr>
        <w:rFonts w:hint="default"/>
      </w:rPr>
    </w:lvl>
    <w:lvl w:ilvl="5">
      <w:start w:val="1"/>
      <w:numFmt w:val="decimal"/>
      <w:lvlText w:val="%1.%2.%3.%4.%5.%6"/>
      <w:lvlJc w:val="left"/>
      <w:pPr>
        <w:ind w:left="1302" w:hanging="1302"/>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0"/>
  </w:num>
  <w:num w:numId="3">
    <w:abstractNumId w:val="4"/>
  </w:num>
  <w:num w:numId="4">
    <w:abstractNumId w:val="1"/>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AF2"/>
    <w:rsid w:val="000D2661"/>
    <w:rsid w:val="00185C1A"/>
    <w:rsid w:val="001F6170"/>
    <w:rsid w:val="002105F4"/>
    <w:rsid w:val="00226AF2"/>
    <w:rsid w:val="003322AB"/>
    <w:rsid w:val="00337289"/>
    <w:rsid w:val="00412335"/>
    <w:rsid w:val="00412535"/>
    <w:rsid w:val="0050719D"/>
    <w:rsid w:val="0052198C"/>
    <w:rsid w:val="00535490"/>
    <w:rsid w:val="00546FFD"/>
    <w:rsid w:val="00550961"/>
    <w:rsid w:val="005C15DC"/>
    <w:rsid w:val="00663BCA"/>
    <w:rsid w:val="00790D4C"/>
    <w:rsid w:val="007E7D24"/>
    <w:rsid w:val="00802174"/>
    <w:rsid w:val="008C64A5"/>
    <w:rsid w:val="0092623A"/>
    <w:rsid w:val="00A027E9"/>
    <w:rsid w:val="00A3502C"/>
    <w:rsid w:val="00A813C1"/>
    <w:rsid w:val="00A9539E"/>
    <w:rsid w:val="00B0561F"/>
    <w:rsid w:val="00BA154F"/>
    <w:rsid w:val="00C72745"/>
    <w:rsid w:val="00CE4882"/>
    <w:rsid w:val="00D23C46"/>
    <w:rsid w:val="00D5313B"/>
    <w:rsid w:val="00E54439"/>
    <w:rsid w:val="00E84850"/>
    <w:rsid w:val="00F47BA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7CFE14"/>
  <w15:chartTrackingRefBased/>
  <w15:docId w15:val="{A4674078-1EC4-40A5-958A-9DE42C1D6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AF2"/>
    <w:rPr>
      <w:rFonts w:ascii="Arial" w:hAnsi="Arial"/>
      <w:sz w:val="24"/>
    </w:rPr>
  </w:style>
  <w:style w:type="paragraph" w:styleId="Heading3">
    <w:name w:val="heading 3"/>
    <w:basedOn w:val="Normal"/>
    <w:link w:val="Heading3Char"/>
    <w:qFormat/>
    <w:rsid w:val="00C72745"/>
    <w:pPr>
      <w:spacing w:before="100" w:beforeAutospacing="1" w:after="100" w:afterAutospacing="1"/>
      <w:outlineLvl w:val="2"/>
    </w:pPr>
    <w:rPr>
      <w:rFonts w:ascii="Times New Roman" w:hAnsi="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ligmeddelelsesform">
    <w:name w:val="Personlig meddelelsesform"/>
    <w:basedOn w:val="DefaultParagraphFont"/>
    <w:rPr>
      <w:rFonts w:ascii="Arial" w:hAnsi="Arial" w:cs="Arial"/>
      <w:color w:val="auto"/>
      <w:sz w:val="20"/>
    </w:rPr>
  </w:style>
  <w:style w:type="character" w:customStyle="1" w:styleId="Personligsvarlayout">
    <w:name w:val="Personlig svarlayout"/>
    <w:basedOn w:val="DefaultParagraphFont"/>
    <w:rPr>
      <w:rFonts w:ascii="Arial" w:hAnsi="Arial" w:cs="Arial"/>
      <w:color w:val="auto"/>
      <w:sz w:val="20"/>
    </w:rPr>
  </w:style>
  <w:style w:type="paragraph" w:styleId="Header">
    <w:name w:val="header"/>
    <w:basedOn w:val="Normal"/>
    <w:link w:val="HeaderChar"/>
    <w:uiPriority w:val="99"/>
    <w:unhideWhenUsed/>
    <w:rsid w:val="00226AF2"/>
    <w:pPr>
      <w:tabs>
        <w:tab w:val="center" w:pos="4819"/>
        <w:tab w:val="right" w:pos="9638"/>
      </w:tabs>
    </w:pPr>
  </w:style>
  <w:style w:type="character" w:customStyle="1" w:styleId="HeaderChar">
    <w:name w:val="Header Char"/>
    <w:basedOn w:val="DefaultParagraphFont"/>
    <w:link w:val="Header"/>
    <w:uiPriority w:val="99"/>
    <w:rsid w:val="00226AF2"/>
    <w:rPr>
      <w:rFonts w:ascii="Arial" w:hAnsi="Arial"/>
      <w:sz w:val="24"/>
    </w:rPr>
  </w:style>
  <w:style w:type="paragraph" w:styleId="Footer">
    <w:name w:val="footer"/>
    <w:basedOn w:val="Normal"/>
    <w:link w:val="FooterChar"/>
    <w:uiPriority w:val="99"/>
    <w:unhideWhenUsed/>
    <w:rsid w:val="00226AF2"/>
    <w:pPr>
      <w:tabs>
        <w:tab w:val="center" w:pos="4819"/>
        <w:tab w:val="right" w:pos="9638"/>
      </w:tabs>
    </w:pPr>
  </w:style>
  <w:style w:type="character" w:customStyle="1" w:styleId="FooterChar">
    <w:name w:val="Footer Char"/>
    <w:basedOn w:val="DefaultParagraphFont"/>
    <w:link w:val="Footer"/>
    <w:uiPriority w:val="99"/>
    <w:rsid w:val="00226AF2"/>
    <w:rPr>
      <w:rFonts w:ascii="Arial" w:hAnsi="Arial"/>
      <w:sz w:val="24"/>
    </w:rPr>
  </w:style>
  <w:style w:type="character" w:styleId="PlaceholderText">
    <w:name w:val="Placeholder Text"/>
    <w:basedOn w:val="DefaultParagraphFont"/>
    <w:uiPriority w:val="99"/>
    <w:semiHidden/>
    <w:rsid w:val="00226AF2"/>
    <w:rPr>
      <w:color w:val="808080"/>
    </w:rPr>
  </w:style>
  <w:style w:type="paragraph" w:styleId="ListParagraph">
    <w:name w:val="List Paragraph"/>
    <w:basedOn w:val="Normal"/>
    <w:link w:val="ListParagraphChar"/>
    <w:uiPriority w:val="34"/>
    <w:qFormat/>
    <w:rsid w:val="00226AF2"/>
    <w:pPr>
      <w:ind w:left="720"/>
      <w:contextualSpacing/>
    </w:pPr>
  </w:style>
  <w:style w:type="paragraph" w:customStyle="1" w:styleId="Virksomhedsguiden">
    <w:name w:val="Virksomhedsguiden"/>
    <w:basedOn w:val="ListParagraph"/>
    <w:link w:val="VirksomhedsguidenTegn"/>
    <w:qFormat/>
    <w:rsid w:val="00BA154F"/>
    <w:pPr>
      <w:numPr>
        <w:numId w:val="7"/>
      </w:numPr>
    </w:pPr>
    <w:rPr>
      <w:rFonts w:ascii="Segoe UI" w:hAnsi="Segoe UI" w:cs="Segoe UI"/>
      <w:sz w:val="22"/>
      <w:szCs w:val="22"/>
    </w:rPr>
  </w:style>
  <w:style w:type="character" w:customStyle="1" w:styleId="ListParagraphChar">
    <w:name w:val="List Paragraph Char"/>
    <w:basedOn w:val="DefaultParagraphFont"/>
    <w:link w:val="ListParagraph"/>
    <w:uiPriority w:val="34"/>
    <w:rsid w:val="00BA154F"/>
    <w:rPr>
      <w:rFonts w:ascii="Arial" w:hAnsi="Arial"/>
      <w:sz w:val="24"/>
    </w:rPr>
  </w:style>
  <w:style w:type="character" w:customStyle="1" w:styleId="VirksomhedsguidenTegn">
    <w:name w:val="Virksomhedsguiden Tegn"/>
    <w:basedOn w:val="ListParagraphChar"/>
    <w:link w:val="Virksomhedsguiden"/>
    <w:rsid w:val="00BA154F"/>
    <w:rPr>
      <w:rFonts w:ascii="Segoe UI" w:hAnsi="Segoe UI" w:cs="Segoe UI"/>
      <w:sz w:val="22"/>
      <w:szCs w:val="22"/>
    </w:rPr>
  </w:style>
  <w:style w:type="character" w:customStyle="1" w:styleId="Heading3Char">
    <w:name w:val="Heading 3 Char"/>
    <w:basedOn w:val="DefaultParagraphFont"/>
    <w:link w:val="Heading3"/>
    <w:rsid w:val="00C72745"/>
    <w:rPr>
      <w:b/>
      <w:bCs/>
      <w:sz w:val="27"/>
      <w:szCs w:val="27"/>
      <w:lang w:val="en-GB" w:eastAsia="en-GB"/>
    </w:rPr>
  </w:style>
  <w:style w:type="paragraph" w:styleId="NormalWeb">
    <w:name w:val="Normal (Web)"/>
    <w:basedOn w:val="Normal"/>
    <w:rsid w:val="00C72745"/>
    <w:pPr>
      <w:spacing w:before="100" w:beforeAutospacing="1" w:after="100" w:afterAutospacing="1"/>
    </w:pPr>
    <w:rPr>
      <w:rFonts w:ascii="Times New Roman" w:hAnsi="Times New Roman"/>
      <w:szCs w:val="24"/>
      <w:lang w:val="en-GB" w:eastAsia="en-GB"/>
    </w:rPr>
  </w:style>
  <w:style w:type="paragraph" w:styleId="PlainText">
    <w:name w:val="Plain Text"/>
    <w:basedOn w:val="Normal"/>
    <w:link w:val="PlainTextChar"/>
    <w:rsid w:val="00C72745"/>
    <w:rPr>
      <w:rFonts w:ascii="Courier New" w:hAnsi="Courier New"/>
      <w:sz w:val="20"/>
      <w:lang w:eastAsia="en-GB"/>
    </w:rPr>
  </w:style>
  <w:style w:type="character" w:customStyle="1" w:styleId="PlainTextChar">
    <w:name w:val="Plain Text Char"/>
    <w:basedOn w:val="DefaultParagraphFont"/>
    <w:link w:val="PlainText"/>
    <w:rsid w:val="00C72745"/>
    <w:rPr>
      <w:rFonts w:ascii="Courier New" w:hAnsi="Courier New"/>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glossaryDocument" Target="glossary/document.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6D2AF75EEA84E8F94645BD5EBB0DDCD"/>
        <w:category>
          <w:name w:val="Generelt"/>
          <w:gallery w:val="placeholder"/>
        </w:category>
        <w:types>
          <w:type w:val="bbPlcHdr"/>
        </w:types>
        <w:behaviors>
          <w:behavior w:val="content"/>
        </w:behaviors>
        <w:guid w:val="{1F257EBD-A3C8-42A2-8A4E-F3FFCC1405D8}"/>
      </w:docPartPr>
      <w:docPartBody>
        <w:p w:rsidR="009A22FC" w:rsidRDefault="005C1427" w:rsidP="005C1427">
          <w:pPr>
            <w:pStyle w:val="46D2AF75EEA84E8F94645BD5EBB0DDCD"/>
          </w:pPr>
          <w:r w:rsidRPr="007E7D24">
            <w:rPr>
              <w:rFonts w:ascii="Segoe UI" w:hAnsi="Segoe UI" w:cs="Segoe UI"/>
              <w:b/>
              <w:sz w:val="52"/>
              <w:szCs w:val="52"/>
            </w:rPr>
            <w:t>Firmanavn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BM Plex Sans">
    <w:altName w:val="Calibri"/>
    <w:charset w:val="00"/>
    <w:family w:val="swiss"/>
    <w:pitch w:val="variable"/>
    <w:sig w:usb0="A00002EF" w:usb1="5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BC8"/>
    <w:rsid w:val="00244CD2"/>
    <w:rsid w:val="002476E7"/>
    <w:rsid w:val="003F24BA"/>
    <w:rsid w:val="00492988"/>
    <w:rsid w:val="005C1427"/>
    <w:rsid w:val="006F32A4"/>
    <w:rsid w:val="00700BC8"/>
    <w:rsid w:val="00830A95"/>
    <w:rsid w:val="00881EFF"/>
    <w:rsid w:val="008B64A8"/>
    <w:rsid w:val="008C2B30"/>
    <w:rsid w:val="0096353D"/>
    <w:rsid w:val="00990436"/>
    <w:rsid w:val="009A22FC"/>
    <w:rsid w:val="00C235A9"/>
    <w:rsid w:val="00EE34A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0436"/>
    <w:rPr>
      <w:color w:val="808080"/>
    </w:rPr>
  </w:style>
  <w:style w:type="paragraph" w:customStyle="1" w:styleId="3B7299408773406BB9A8EF29ABB96513">
    <w:name w:val="3B7299408773406BB9A8EF29ABB96513"/>
    <w:rsid w:val="00700BC8"/>
  </w:style>
  <w:style w:type="paragraph" w:customStyle="1" w:styleId="0CD15B51D6E8443184DDB02A05DE27C6">
    <w:name w:val="0CD15B51D6E8443184DDB02A05DE27C6"/>
    <w:rsid w:val="00700BC8"/>
  </w:style>
  <w:style w:type="paragraph" w:customStyle="1" w:styleId="61DA4B17DB94492F8A26BF8F8639E38E">
    <w:name w:val="61DA4B17DB94492F8A26BF8F8639E38E"/>
    <w:rsid w:val="00700BC8"/>
  </w:style>
  <w:style w:type="paragraph" w:customStyle="1" w:styleId="FC772338FC3F4EBCBC7B261B475B1309">
    <w:name w:val="FC772338FC3F4EBCBC7B261B475B1309"/>
    <w:rsid w:val="00700BC8"/>
  </w:style>
  <w:style w:type="paragraph" w:customStyle="1" w:styleId="B4BA0E97CAD44DA08A6C38FCC02C752C">
    <w:name w:val="B4BA0E97CAD44DA08A6C38FCC02C752C"/>
    <w:rsid w:val="00700BC8"/>
  </w:style>
  <w:style w:type="paragraph" w:customStyle="1" w:styleId="0583F9FF710045DAB56D4BD3D2C460BA">
    <w:name w:val="0583F9FF710045DAB56D4BD3D2C460BA"/>
    <w:rsid w:val="00700BC8"/>
  </w:style>
  <w:style w:type="paragraph" w:customStyle="1" w:styleId="A77362A26B3143F98BB5CE5B1B25144E">
    <w:name w:val="A77362A26B3143F98BB5CE5B1B25144E"/>
    <w:rsid w:val="00700BC8"/>
  </w:style>
  <w:style w:type="paragraph" w:customStyle="1" w:styleId="1B62FCFB383A4420A1CBC794C8ABC347">
    <w:name w:val="1B62FCFB383A4420A1CBC794C8ABC347"/>
    <w:rsid w:val="00700BC8"/>
  </w:style>
  <w:style w:type="paragraph" w:customStyle="1" w:styleId="F7A85344DC29475EBAAF4C4A1859DE01">
    <w:name w:val="F7A85344DC29475EBAAF4C4A1859DE01"/>
    <w:rsid w:val="00700BC8"/>
  </w:style>
  <w:style w:type="paragraph" w:customStyle="1" w:styleId="D7229385B5B44A31B5ED244A059C1A8B">
    <w:name w:val="D7229385B5B44A31B5ED244A059C1A8B"/>
    <w:rsid w:val="00700BC8"/>
  </w:style>
  <w:style w:type="paragraph" w:customStyle="1" w:styleId="A2676AA567534A0FAB661C9419C605DD">
    <w:name w:val="A2676AA567534A0FAB661C9419C605DD"/>
    <w:rsid w:val="00700BC8"/>
  </w:style>
  <w:style w:type="paragraph" w:customStyle="1" w:styleId="8D5084CF7A744FC383EF8BE7F9B182D9">
    <w:name w:val="8D5084CF7A744FC383EF8BE7F9B182D9"/>
    <w:rsid w:val="00700BC8"/>
  </w:style>
  <w:style w:type="paragraph" w:customStyle="1" w:styleId="7A10C66CCEA7469F8C445C3A447F53AF">
    <w:name w:val="7A10C66CCEA7469F8C445C3A447F53AF"/>
    <w:rsid w:val="00700BC8"/>
  </w:style>
  <w:style w:type="paragraph" w:customStyle="1" w:styleId="02687BBC52674C0F951947079E57EF29">
    <w:name w:val="02687BBC52674C0F951947079E57EF29"/>
    <w:rsid w:val="00700BC8"/>
  </w:style>
  <w:style w:type="paragraph" w:customStyle="1" w:styleId="91F6AFC245244AAB99F05F06D2617A0F">
    <w:name w:val="91F6AFC245244AAB99F05F06D2617A0F"/>
    <w:rsid w:val="00700BC8"/>
  </w:style>
  <w:style w:type="paragraph" w:customStyle="1" w:styleId="B87A522254D1448BB97C52E633B4CD56">
    <w:name w:val="B87A522254D1448BB97C52E633B4CD56"/>
    <w:rsid w:val="00700BC8"/>
  </w:style>
  <w:style w:type="paragraph" w:customStyle="1" w:styleId="286A008DD4C7479E96883A757E9C03EF">
    <w:name w:val="286A008DD4C7479E96883A757E9C03EF"/>
    <w:rsid w:val="00700BC8"/>
  </w:style>
  <w:style w:type="paragraph" w:customStyle="1" w:styleId="5CCE8D5728B34AD3B8CC4BE6D61CD28D">
    <w:name w:val="5CCE8D5728B34AD3B8CC4BE6D61CD28D"/>
    <w:rsid w:val="00700BC8"/>
  </w:style>
  <w:style w:type="paragraph" w:customStyle="1" w:styleId="FFD9C40ADB8B4F02A96930414F59FA4F">
    <w:name w:val="FFD9C40ADB8B4F02A96930414F59FA4F"/>
    <w:rsid w:val="00700BC8"/>
  </w:style>
  <w:style w:type="paragraph" w:customStyle="1" w:styleId="46D2AF75EEA84E8F94645BD5EBB0DDCD">
    <w:name w:val="46D2AF75EEA84E8F94645BD5EBB0DDCD"/>
    <w:rsid w:val="005C1427"/>
    <w:pPr>
      <w:spacing w:after="0" w:line="240" w:lineRule="auto"/>
    </w:pPr>
    <w:rPr>
      <w:rFonts w:ascii="Arial" w:eastAsia="Times New Roman" w:hAnsi="Arial"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893" ma:contentTypeDescription="Opret et nyt dokument." ma:contentTypeScope="" ma:versionID="a5425ebd088cddbbedebe4c38f2f30c1">
  <xsd:schema xmlns:xsd="http://www.w3.org/2001/XMLSchema" xmlns:xs="http://www.w3.org/2001/XMLSchema" xmlns:p="http://schemas.microsoft.com/office/2006/metadata/properties" xmlns:ns2="8f557624-d6a7-40e5-a06f-ebe44359847b" xmlns:ns3="ba3c0d19-9a85-4c97-b951-b8742efd782e" targetNamespace="http://schemas.microsoft.com/office/2006/metadata/properties" ma:root="true" ma:fieldsID="43852af8e1e959446b07c28947762031" ns2:_="" ns3:_="">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f557624-d6a7-40e5-a06f-ebe44359847b">EAEXP2DD475P-1149199250-4364723</_dlc_DocId>
    <_dlc_DocIdUrl xmlns="8f557624-d6a7-40e5-a06f-ebe44359847b">
      <Url>https://erstdk.sharepoint.com/teams/share/_layouts/15/DocIdRedir.aspx?ID=EAEXP2DD475P-1149199250-4364723</Url>
      <Description>EAEXP2DD475P-1149199250-4364723</Description>
    </_dlc_DocIdUrl>
  </documentManagement>
</p:properties>
</file>

<file path=customXml/itemProps1.xml><?xml version="1.0" encoding="utf-8"?>
<ds:datastoreItem xmlns:ds="http://schemas.openxmlformats.org/officeDocument/2006/customXml" ds:itemID="{F3C7EE77-7001-4258-939B-8FBD2770B1E9}"/>
</file>

<file path=customXml/itemProps2.xml><?xml version="1.0" encoding="utf-8"?>
<ds:datastoreItem xmlns:ds="http://schemas.openxmlformats.org/officeDocument/2006/customXml" ds:itemID="{F7AD4A19-64BB-47B5-9E20-4151F1421BF8}"/>
</file>

<file path=customXml/itemProps3.xml><?xml version="1.0" encoding="utf-8"?>
<ds:datastoreItem xmlns:ds="http://schemas.openxmlformats.org/officeDocument/2006/customXml" ds:itemID="{9F5BFC27-D689-47F8-A15E-AE82B1B8A1BD}"/>
</file>

<file path=customXml/itemProps4.xml><?xml version="1.0" encoding="utf-8"?>
<ds:datastoreItem xmlns:ds="http://schemas.openxmlformats.org/officeDocument/2006/customXml" ds:itemID="{01761F1A-D0D0-4B18-96E0-4BFC64D37325}"/>
</file>

<file path=docProps/app.xml><?xml version="1.0" encoding="utf-8"?>
<Properties xmlns="http://schemas.openxmlformats.org/officeDocument/2006/extended-properties" xmlns:vt="http://schemas.openxmlformats.org/officeDocument/2006/docPropsVTypes">
  <Template>Normal.dotm</Template>
  <TotalTime>0</TotalTime>
  <Pages>9</Pages>
  <Words>2075</Words>
  <Characters>12664</Characters>
  <Application>Microsoft Office Word</Application>
  <DocSecurity>0</DocSecurity>
  <Lines>105</Lines>
  <Paragraphs>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Munkholm</dc:creator>
  <cp:keywords/>
  <dc:description/>
  <cp:lastModifiedBy>Charlotte Frederikke Moltke Scheel</cp:lastModifiedBy>
  <cp:revision>2</cp:revision>
  <cp:lastPrinted>2019-05-29T08:33:00Z</cp:lastPrinted>
  <dcterms:created xsi:type="dcterms:W3CDTF">2019-06-27T14:17:00Z</dcterms:created>
  <dcterms:modified xsi:type="dcterms:W3CDTF">2019-06-27T14:17:00Z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0x01010028823DAD65BFDC47A3186F100C863B32</vt:lpwstr>
  </property>
  <property fmtid="{D5CDD505-2E9C-101B-9397-08002B2CF9AE}" pid="3" name="_dlc_DocIdItemGuid">
    <vt:lpwstr>f79ea7f8-d21a-49fe-b505-ff3f0dfce3df</vt:lpwstr>
  </property>
</Properties>
</file>